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495" w:rsidRDefault="00AA34F7" w:rsidP="00AC0505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  <w:r w:rsidRPr="00CC5301">
        <w:rPr>
          <w:rFonts w:ascii="Palatino Linotype" w:hAnsi="Palatino Linotype"/>
          <w:b/>
          <w:sz w:val="24"/>
          <w:szCs w:val="24"/>
        </w:rPr>
        <w:t>VOTO PARTICULAR QUE FORMULA LA COMISIONADA PRESIDENTA ZULEMA MARTÍNEZ SÁNCHEZ, EN RELACIÓN CON LA RESOLUCIÓN DICTADA POR EL PLENO DEL INSTITUTO DE TRANSPARENCIA, ACCESO A LA INFORMACIÓN PÚBLICA Y PROTECCIÓN DE DATOS PERSONALES DEL ESTADO DE MÉXICO Y MUNICIPIOS, EN LA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="00557495">
        <w:rPr>
          <w:rFonts w:ascii="Palatino Linotype" w:hAnsi="Palatino Linotype"/>
          <w:b/>
          <w:sz w:val="24"/>
          <w:szCs w:val="24"/>
        </w:rPr>
        <w:t xml:space="preserve">CUARTA SESIÓN ORDINARIA DEL TREINTA DE ENERO DE DOS MIL DIECINUEVE, EN EL RECURSO DE REVISIÓN 04293/INFOEM/IP/RR/2018. </w:t>
      </w:r>
    </w:p>
    <w:p w:rsidR="00557495" w:rsidRDefault="00557495" w:rsidP="00AC0505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557495" w:rsidRPr="00E333DB" w:rsidRDefault="00AC0505" w:rsidP="00615762">
      <w:pPr>
        <w:spacing w:after="0" w:line="336" w:lineRule="auto"/>
        <w:jc w:val="both"/>
        <w:rPr>
          <w:rFonts w:ascii="Palatino Linotype" w:hAnsi="Palatino Linotype"/>
          <w:sz w:val="24"/>
          <w:szCs w:val="24"/>
        </w:rPr>
      </w:pPr>
      <w:r w:rsidRPr="00E333DB">
        <w:rPr>
          <w:rFonts w:ascii="Palatino Linotype" w:hAnsi="Palatino Linotype"/>
          <w:sz w:val="24"/>
          <w:szCs w:val="24"/>
        </w:rPr>
        <w:t xml:space="preserve">Con fundamento en lo dispuesto por el artículo 14 fracción XI del Reglamento Interior del Instituto de Transparencia, Acceso a la Información Pública y Protección de Datos Personales del Estado de México y Municipios, </w:t>
      </w:r>
      <w:r w:rsidR="00A56FBB" w:rsidRPr="00E333DB">
        <w:rPr>
          <w:rFonts w:ascii="Palatino Linotype" w:hAnsi="Palatino Linotype"/>
          <w:sz w:val="24"/>
          <w:szCs w:val="24"/>
        </w:rPr>
        <w:t xml:space="preserve">la Comisionada </w:t>
      </w:r>
      <w:r w:rsidR="0069147F" w:rsidRPr="00E333DB">
        <w:rPr>
          <w:rFonts w:ascii="Palatino Linotype" w:hAnsi="Palatino Linotype"/>
          <w:sz w:val="24"/>
          <w:szCs w:val="24"/>
        </w:rPr>
        <w:t xml:space="preserve">Presidenta </w:t>
      </w:r>
      <w:r w:rsidR="00A56FBB" w:rsidRPr="00E333DB">
        <w:rPr>
          <w:rFonts w:ascii="Palatino Linotype" w:hAnsi="Palatino Linotype"/>
          <w:sz w:val="24"/>
          <w:szCs w:val="24"/>
        </w:rPr>
        <w:t xml:space="preserve">Zulema Martínez Sánchez emite </w:t>
      </w:r>
      <w:r w:rsidR="00A56FBB" w:rsidRPr="00E333DB">
        <w:rPr>
          <w:rFonts w:ascii="Palatino Linotype" w:hAnsi="Palatino Linotype"/>
          <w:b/>
          <w:sz w:val="24"/>
          <w:szCs w:val="24"/>
        </w:rPr>
        <w:t>VOTO PARTICULAR</w:t>
      </w:r>
      <w:r w:rsidR="00A56FBB" w:rsidRPr="00E333DB">
        <w:rPr>
          <w:rFonts w:ascii="Palatino Linotype" w:hAnsi="Palatino Linotype"/>
          <w:sz w:val="24"/>
          <w:szCs w:val="24"/>
        </w:rPr>
        <w:t xml:space="preserve"> respect</w:t>
      </w:r>
      <w:r w:rsidR="00E10CC9" w:rsidRPr="00E333DB">
        <w:rPr>
          <w:rFonts w:ascii="Palatino Linotype" w:hAnsi="Palatino Linotype"/>
          <w:sz w:val="24"/>
          <w:szCs w:val="24"/>
        </w:rPr>
        <w:t>o</w:t>
      </w:r>
      <w:r w:rsidR="00816CB7" w:rsidRPr="00E333DB">
        <w:rPr>
          <w:rFonts w:ascii="Palatino Linotype" w:hAnsi="Palatino Linotype"/>
          <w:sz w:val="24"/>
          <w:szCs w:val="24"/>
        </w:rPr>
        <w:t xml:space="preserve"> de la resolución dictada en el</w:t>
      </w:r>
      <w:r w:rsidR="00A56FBB" w:rsidRPr="00E333DB">
        <w:rPr>
          <w:rFonts w:ascii="Palatino Linotype" w:hAnsi="Palatino Linotype"/>
          <w:sz w:val="24"/>
          <w:szCs w:val="24"/>
        </w:rPr>
        <w:t xml:space="preserve"> recurso de revisión </w:t>
      </w:r>
      <w:r w:rsidR="00AA34F7" w:rsidRPr="00E333DB">
        <w:rPr>
          <w:rFonts w:ascii="Palatino Linotype" w:hAnsi="Palatino Linotype"/>
          <w:b/>
          <w:sz w:val="24"/>
          <w:szCs w:val="24"/>
        </w:rPr>
        <w:t>0</w:t>
      </w:r>
      <w:r w:rsidR="00557495" w:rsidRPr="00E333DB">
        <w:rPr>
          <w:rFonts w:ascii="Palatino Linotype" w:hAnsi="Palatino Linotype"/>
          <w:b/>
          <w:sz w:val="24"/>
          <w:szCs w:val="24"/>
        </w:rPr>
        <w:t>4293</w:t>
      </w:r>
      <w:r w:rsidR="00A56FBB" w:rsidRPr="00E333DB">
        <w:rPr>
          <w:rFonts w:ascii="Palatino Linotype" w:hAnsi="Palatino Linotype"/>
          <w:b/>
          <w:sz w:val="24"/>
          <w:szCs w:val="24"/>
        </w:rPr>
        <w:t>/INFOEM/IP/RR/2018,</w:t>
      </w:r>
      <w:r w:rsidR="00A56FBB" w:rsidRPr="00E333DB">
        <w:rPr>
          <w:rFonts w:ascii="Palatino Linotype" w:hAnsi="Palatino Linotype"/>
          <w:sz w:val="24"/>
          <w:szCs w:val="24"/>
        </w:rPr>
        <w:t xml:space="preserve"> pronunciada por el Pleno de este Instituto ante el proyecto presentado por </w:t>
      </w:r>
      <w:r w:rsidR="00557495" w:rsidRPr="00E333DB">
        <w:rPr>
          <w:rFonts w:ascii="Palatino Linotype" w:hAnsi="Palatino Linotype"/>
          <w:sz w:val="24"/>
          <w:szCs w:val="24"/>
        </w:rPr>
        <w:t>el</w:t>
      </w:r>
      <w:r w:rsidR="00A56FBB" w:rsidRPr="00E333DB">
        <w:rPr>
          <w:rFonts w:ascii="Palatino Linotype" w:hAnsi="Palatino Linotype"/>
          <w:sz w:val="24"/>
          <w:szCs w:val="24"/>
        </w:rPr>
        <w:t xml:space="preserve"> Comisionad</w:t>
      </w:r>
      <w:r w:rsidR="00557495" w:rsidRPr="00E333DB">
        <w:rPr>
          <w:rFonts w:ascii="Palatino Linotype" w:hAnsi="Palatino Linotype"/>
          <w:sz w:val="24"/>
          <w:szCs w:val="24"/>
        </w:rPr>
        <w:t>o José Guadalupe Luna Hernández, que es del tenor siguiente:</w:t>
      </w:r>
    </w:p>
    <w:p w:rsidR="00557495" w:rsidRPr="00E333DB" w:rsidRDefault="00557495" w:rsidP="00615762">
      <w:pPr>
        <w:spacing w:after="0" w:line="336" w:lineRule="auto"/>
        <w:jc w:val="both"/>
        <w:rPr>
          <w:rFonts w:ascii="Palatino Linotype" w:hAnsi="Palatino Linotype"/>
          <w:sz w:val="24"/>
          <w:szCs w:val="24"/>
        </w:rPr>
      </w:pPr>
    </w:p>
    <w:p w:rsidR="000B6A84" w:rsidRPr="00E333DB" w:rsidRDefault="00A56FBB" w:rsidP="00615762">
      <w:pPr>
        <w:spacing w:after="0" w:line="336" w:lineRule="auto"/>
        <w:jc w:val="both"/>
        <w:rPr>
          <w:rFonts w:ascii="Palatino Linotype" w:hAnsi="Palatino Linotype"/>
          <w:sz w:val="24"/>
          <w:szCs w:val="24"/>
        </w:rPr>
      </w:pPr>
      <w:r w:rsidRPr="00E333DB">
        <w:rPr>
          <w:rFonts w:ascii="Palatino Linotype" w:hAnsi="Palatino Linotype"/>
          <w:sz w:val="24"/>
          <w:szCs w:val="24"/>
        </w:rPr>
        <w:t xml:space="preserve">En primer </w:t>
      </w:r>
      <w:r w:rsidR="003F1C95" w:rsidRPr="00E333DB">
        <w:rPr>
          <w:rFonts w:ascii="Palatino Linotype" w:hAnsi="Palatino Linotype"/>
          <w:sz w:val="24"/>
          <w:szCs w:val="24"/>
        </w:rPr>
        <w:t>término,</w:t>
      </w:r>
      <w:r w:rsidR="000B6A84" w:rsidRPr="00E333DB">
        <w:rPr>
          <w:rFonts w:ascii="Palatino Linotype" w:hAnsi="Palatino Linotype"/>
          <w:sz w:val="24"/>
          <w:szCs w:val="24"/>
        </w:rPr>
        <w:t xml:space="preserve"> debemos referir que </w:t>
      </w:r>
      <w:r w:rsidR="00FA30C9" w:rsidRPr="00E333DB">
        <w:rPr>
          <w:rFonts w:ascii="Palatino Linotype" w:hAnsi="Palatino Linotype"/>
          <w:sz w:val="24"/>
          <w:szCs w:val="24"/>
        </w:rPr>
        <w:t xml:space="preserve">se comparte el sentido en general de la resolución presentada por </w:t>
      </w:r>
      <w:r w:rsidR="00557495" w:rsidRPr="00E333DB">
        <w:rPr>
          <w:rFonts w:ascii="Palatino Linotype" w:hAnsi="Palatino Linotype"/>
          <w:sz w:val="24"/>
          <w:szCs w:val="24"/>
        </w:rPr>
        <w:t>el</w:t>
      </w:r>
      <w:r w:rsidR="00FA30C9" w:rsidRPr="00E333DB">
        <w:rPr>
          <w:rFonts w:ascii="Palatino Linotype" w:hAnsi="Palatino Linotype"/>
          <w:sz w:val="24"/>
          <w:szCs w:val="24"/>
        </w:rPr>
        <w:t xml:space="preserve"> Comisionad</w:t>
      </w:r>
      <w:r w:rsidR="00E10CC9" w:rsidRPr="00E333DB">
        <w:rPr>
          <w:rFonts w:ascii="Palatino Linotype" w:hAnsi="Palatino Linotype"/>
          <w:sz w:val="24"/>
          <w:szCs w:val="24"/>
        </w:rPr>
        <w:t>o</w:t>
      </w:r>
      <w:r w:rsidR="00FA30C9" w:rsidRPr="00E333DB">
        <w:rPr>
          <w:rFonts w:ascii="Palatino Linotype" w:hAnsi="Palatino Linotype"/>
          <w:sz w:val="24"/>
          <w:szCs w:val="24"/>
        </w:rPr>
        <w:t xml:space="preserve"> Ponente, no </w:t>
      </w:r>
      <w:r w:rsidR="008476D4" w:rsidRPr="00E333DB">
        <w:rPr>
          <w:rFonts w:ascii="Palatino Linotype" w:hAnsi="Palatino Linotype"/>
          <w:sz w:val="24"/>
          <w:szCs w:val="24"/>
        </w:rPr>
        <w:t>obstante,</w:t>
      </w:r>
      <w:r w:rsidR="00FA30C9" w:rsidRPr="00E333DB">
        <w:rPr>
          <w:rFonts w:ascii="Palatino Linotype" w:hAnsi="Palatino Linotype"/>
          <w:sz w:val="24"/>
          <w:szCs w:val="24"/>
        </w:rPr>
        <w:t xml:space="preserve"> se hará mención de un punto que en opinión de quien suscribe, se debió tomar en consideración al momento de resolver </w:t>
      </w:r>
      <w:r w:rsidR="003F1C95" w:rsidRPr="00E333DB">
        <w:rPr>
          <w:rFonts w:ascii="Palatino Linotype" w:hAnsi="Palatino Linotype"/>
          <w:sz w:val="24"/>
          <w:szCs w:val="24"/>
        </w:rPr>
        <w:t xml:space="preserve">el recurso que nos ocupa. </w:t>
      </w:r>
      <w:r w:rsidR="00FA30C9" w:rsidRPr="00E333DB">
        <w:rPr>
          <w:rFonts w:ascii="Palatino Linotype" w:hAnsi="Palatino Linotype"/>
          <w:sz w:val="24"/>
          <w:szCs w:val="24"/>
        </w:rPr>
        <w:t xml:space="preserve"> </w:t>
      </w:r>
    </w:p>
    <w:p w:rsidR="00DB4459" w:rsidRPr="00E333DB" w:rsidRDefault="00DB4459" w:rsidP="00615762">
      <w:pPr>
        <w:spacing w:after="0" w:line="336" w:lineRule="auto"/>
        <w:jc w:val="both"/>
        <w:rPr>
          <w:rFonts w:ascii="Palatino Linotype" w:hAnsi="Palatino Linotype"/>
          <w:sz w:val="24"/>
          <w:szCs w:val="24"/>
        </w:rPr>
      </w:pPr>
    </w:p>
    <w:p w:rsidR="00816CB7" w:rsidRPr="00E333DB" w:rsidRDefault="00FA30C9" w:rsidP="00615762">
      <w:pPr>
        <w:spacing w:after="0" w:line="336" w:lineRule="auto"/>
        <w:jc w:val="both"/>
        <w:rPr>
          <w:rFonts w:ascii="Palatino Linotype" w:hAnsi="Palatino Linotype"/>
          <w:sz w:val="24"/>
          <w:szCs w:val="24"/>
        </w:rPr>
      </w:pPr>
      <w:r w:rsidRPr="00E333DB">
        <w:rPr>
          <w:rFonts w:ascii="Palatino Linotype" w:hAnsi="Palatino Linotype"/>
          <w:sz w:val="24"/>
          <w:szCs w:val="24"/>
        </w:rPr>
        <w:t xml:space="preserve">Para tal fin, es necesario </w:t>
      </w:r>
      <w:r w:rsidR="00597ACE" w:rsidRPr="00E333DB">
        <w:rPr>
          <w:rFonts w:ascii="Palatino Linotype" w:hAnsi="Palatino Linotype"/>
          <w:sz w:val="24"/>
          <w:szCs w:val="24"/>
        </w:rPr>
        <w:t xml:space="preserve">traer a colación que mediante </w:t>
      </w:r>
      <w:r w:rsidR="00816CB7" w:rsidRPr="00E333DB">
        <w:rPr>
          <w:rFonts w:ascii="Palatino Linotype" w:hAnsi="Palatino Linotype"/>
          <w:sz w:val="24"/>
          <w:szCs w:val="24"/>
        </w:rPr>
        <w:t xml:space="preserve">la solicitud de información </w:t>
      </w:r>
      <w:r w:rsidR="00557495" w:rsidRPr="00E333DB">
        <w:rPr>
          <w:rFonts w:ascii="Palatino Linotype" w:hAnsi="Palatino Linotype"/>
          <w:b/>
          <w:sz w:val="24"/>
          <w:szCs w:val="24"/>
        </w:rPr>
        <w:t>00029/RAYON/IP/2018</w:t>
      </w:r>
      <w:r w:rsidR="00520B08" w:rsidRPr="00E333DB">
        <w:rPr>
          <w:rFonts w:ascii="Palatino Linotype" w:hAnsi="Palatino Linotype"/>
          <w:b/>
          <w:sz w:val="24"/>
          <w:szCs w:val="24"/>
        </w:rPr>
        <w:t xml:space="preserve"> </w:t>
      </w:r>
      <w:r w:rsidR="00557495" w:rsidRPr="00E333DB">
        <w:rPr>
          <w:rFonts w:ascii="Palatino Linotype" w:hAnsi="Palatino Linotype"/>
          <w:sz w:val="24"/>
          <w:szCs w:val="24"/>
        </w:rPr>
        <w:t>la</w:t>
      </w:r>
      <w:r w:rsidR="00520B08" w:rsidRPr="00E333DB">
        <w:rPr>
          <w:rFonts w:ascii="Palatino Linotype" w:hAnsi="Palatino Linotype"/>
          <w:sz w:val="24"/>
          <w:szCs w:val="24"/>
        </w:rPr>
        <w:t xml:space="preserve"> particular requirió la siguiente información: </w:t>
      </w:r>
    </w:p>
    <w:p w:rsidR="00AA34F7" w:rsidRPr="00557495" w:rsidRDefault="00AA34F7" w:rsidP="00AA34F7">
      <w:pPr>
        <w:spacing w:before="240" w:line="360" w:lineRule="auto"/>
        <w:ind w:left="851" w:right="851"/>
        <w:jc w:val="both"/>
        <w:rPr>
          <w:rFonts w:ascii="Palatino Linotype" w:hAnsi="Palatino Linotype" w:cs="Arial"/>
          <w:b/>
          <w:i/>
          <w:color w:val="000000"/>
        </w:rPr>
      </w:pPr>
      <w:r w:rsidRPr="00557495">
        <w:rPr>
          <w:rFonts w:ascii="Palatino Linotype" w:hAnsi="Palatino Linotype" w:cs="Arial"/>
          <w:i/>
          <w:color w:val="000000"/>
        </w:rPr>
        <w:lastRenderedPageBreak/>
        <w:t>“</w:t>
      </w:r>
      <w:r w:rsidR="00557495" w:rsidRPr="00557495">
        <w:rPr>
          <w:rFonts w:ascii="Palatino Linotype" w:hAnsi="Palatino Linotype"/>
          <w:i/>
        </w:rPr>
        <w:t>solicito información sobre la C. Monica Mercedes Nava, quien actualmente labora en este ayuntamiento, quien con anterioridad era directora del mismo y se retiro para ocupar un puesto político, por lo que solicito información referente a las causas de re regreso al ayuntamiento y el registro de nomina de esta persona en la presente administración</w:t>
      </w:r>
      <w:r w:rsidRPr="00557495">
        <w:rPr>
          <w:rFonts w:ascii="Palatino Linotype" w:hAnsi="Palatino Linotype" w:cs="Arial"/>
          <w:i/>
          <w:color w:val="000000"/>
        </w:rPr>
        <w:t xml:space="preserve">” </w:t>
      </w:r>
      <w:r w:rsidRPr="00557495">
        <w:rPr>
          <w:rFonts w:ascii="Palatino Linotype" w:hAnsi="Palatino Linotype" w:cs="Arial"/>
          <w:b/>
          <w:i/>
          <w:color w:val="000000"/>
        </w:rPr>
        <w:t>[Sic]</w:t>
      </w:r>
    </w:p>
    <w:p w:rsidR="00AA34F7" w:rsidRDefault="00AA34F7" w:rsidP="00615762">
      <w:pPr>
        <w:spacing w:after="0" w:line="336" w:lineRule="auto"/>
        <w:jc w:val="both"/>
        <w:rPr>
          <w:rFonts w:ascii="Palatino Linotype" w:hAnsi="Palatino Linotype"/>
        </w:rPr>
      </w:pPr>
    </w:p>
    <w:p w:rsidR="00AA34F7" w:rsidRDefault="00AA34F7" w:rsidP="00615762">
      <w:pPr>
        <w:spacing w:after="0" w:line="336" w:lineRule="auto"/>
        <w:jc w:val="both"/>
        <w:rPr>
          <w:rFonts w:ascii="Palatino Linotype" w:hAnsi="Palatino Linotype"/>
        </w:rPr>
      </w:pPr>
    </w:p>
    <w:p w:rsidR="00557495" w:rsidRDefault="00AA34F7" w:rsidP="00615762">
      <w:pPr>
        <w:spacing w:after="0" w:line="336" w:lineRule="auto"/>
        <w:jc w:val="both"/>
        <w:rPr>
          <w:rFonts w:ascii="Palatino Linotype" w:hAnsi="Palatino Linotype"/>
          <w:sz w:val="24"/>
          <w:szCs w:val="24"/>
        </w:rPr>
      </w:pPr>
      <w:r w:rsidRPr="00AA34F7">
        <w:rPr>
          <w:rFonts w:ascii="Palatino Linotype" w:hAnsi="Palatino Linotype"/>
          <w:sz w:val="24"/>
          <w:szCs w:val="24"/>
        </w:rPr>
        <w:t xml:space="preserve">En ese </w:t>
      </w:r>
      <w:r>
        <w:rPr>
          <w:rFonts w:ascii="Palatino Linotype" w:hAnsi="Palatino Linotype"/>
          <w:sz w:val="24"/>
          <w:szCs w:val="24"/>
        </w:rPr>
        <w:t>contexto</w:t>
      </w:r>
      <w:r w:rsidR="00BA6F7E">
        <w:rPr>
          <w:rFonts w:ascii="Palatino Linotype" w:hAnsi="Palatino Linotype"/>
          <w:sz w:val="24"/>
          <w:szCs w:val="24"/>
        </w:rPr>
        <w:t xml:space="preserve">, debe precisarse que </w:t>
      </w:r>
      <w:r w:rsidR="00557495">
        <w:rPr>
          <w:rFonts w:ascii="Palatino Linotype" w:hAnsi="Palatino Linotype"/>
          <w:b/>
          <w:sz w:val="24"/>
          <w:szCs w:val="24"/>
        </w:rPr>
        <w:t xml:space="preserve">El Sujeto Obligado </w:t>
      </w:r>
      <w:r w:rsidR="00557495">
        <w:rPr>
          <w:rFonts w:ascii="Palatino Linotype" w:hAnsi="Palatino Linotype"/>
          <w:sz w:val="24"/>
          <w:szCs w:val="24"/>
        </w:rPr>
        <w:t xml:space="preserve">fue omiso en rendir su respuesta, actualizando en consecuencia la hipótesis prevista en el artículo 179 fracción VII de la Ley de </w:t>
      </w:r>
      <w:r w:rsidR="007347D0">
        <w:rPr>
          <w:rFonts w:ascii="Palatino Linotype" w:hAnsi="Palatino Linotype"/>
          <w:sz w:val="24"/>
          <w:szCs w:val="24"/>
        </w:rPr>
        <w:t>Transparencia y Acceso a la Información Pública del Estado de México y Municipios, normatividad invocada cuyo contenido literal es el siguiente:</w:t>
      </w:r>
    </w:p>
    <w:p w:rsidR="007347D0" w:rsidRPr="003F1C95" w:rsidRDefault="007347D0" w:rsidP="003F1C95">
      <w:pPr>
        <w:spacing w:before="240" w:line="360" w:lineRule="auto"/>
        <w:ind w:left="851" w:right="851"/>
        <w:jc w:val="both"/>
        <w:rPr>
          <w:rFonts w:ascii="Palatino Linotype" w:hAnsi="Palatino Linotype"/>
          <w:i/>
        </w:rPr>
      </w:pPr>
      <w:r w:rsidRPr="003F1C95">
        <w:rPr>
          <w:rFonts w:ascii="Palatino Linotype" w:hAnsi="Palatino Linotype"/>
          <w:i/>
        </w:rPr>
        <w:t>“Artículo 179. El recurso de revisión es un medio de protección que la Ley otorga a los particulares, para hacer valer su derecho de acceso a la información pública, y procederá en contra de las siguientes causas</w:t>
      </w:r>
    </w:p>
    <w:p w:rsidR="007347D0" w:rsidRPr="003F1C95" w:rsidRDefault="007347D0" w:rsidP="003F1C95">
      <w:pPr>
        <w:spacing w:before="240" w:line="360" w:lineRule="auto"/>
        <w:ind w:left="851" w:right="851"/>
        <w:jc w:val="both"/>
        <w:rPr>
          <w:rFonts w:ascii="Palatino Linotype" w:hAnsi="Palatino Linotype"/>
          <w:i/>
        </w:rPr>
      </w:pPr>
      <w:r w:rsidRPr="003F1C95">
        <w:rPr>
          <w:rFonts w:ascii="Palatino Linotype" w:hAnsi="Palatino Linotype"/>
          <w:i/>
        </w:rPr>
        <w:t>(…)</w:t>
      </w:r>
    </w:p>
    <w:p w:rsidR="007347D0" w:rsidRPr="003F1C95" w:rsidRDefault="007347D0" w:rsidP="003F1C95">
      <w:pPr>
        <w:spacing w:before="240" w:line="360" w:lineRule="auto"/>
        <w:ind w:left="851" w:right="851"/>
        <w:jc w:val="both"/>
        <w:rPr>
          <w:rFonts w:ascii="Palatino Linotype" w:hAnsi="Palatino Linotype"/>
          <w:b/>
          <w:i/>
          <w:u w:val="single"/>
        </w:rPr>
      </w:pPr>
      <w:r w:rsidRPr="003F1C95">
        <w:rPr>
          <w:rFonts w:ascii="Palatino Linotype" w:hAnsi="Palatino Linotype"/>
          <w:b/>
          <w:i/>
          <w:u w:val="single"/>
        </w:rPr>
        <w:t>VII. La falta de respuesta a una solicitud de acceso a la información;</w:t>
      </w:r>
    </w:p>
    <w:p w:rsidR="007347D0" w:rsidRPr="003F1C95" w:rsidRDefault="007347D0" w:rsidP="003F1C95">
      <w:pPr>
        <w:spacing w:before="240" w:line="360" w:lineRule="auto"/>
        <w:ind w:left="851" w:right="851"/>
        <w:jc w:val="both"/>
        <w:rPr>
          <w:rFonts w:ascii="Palatino Linotype" w:hAnsi="Palatino Linotype"/>
          <w:b/>
          <w:i/>
        </w:rPr>
      </w:pPr>
      <w:r w:rsidRPr="003F1C95">
        <w:rPr>
          <w:rFonts w:ascii="Palatino Linotype" w:hAnsi="Palatino Linotype"/>
          <w:i/>
        </w:rPr>
        <w:t xml:space="preserve">(…)” </w:t>
      </w:r>
      <w:r w:rsidRPr="003F1C95">
        <w:rPr>
          <w:rFonts w:ascii="Palatino Linotype" w:hAnsi="Palatino Linotype"/>
          <w:b/>
          <w:i/>
        </w:rPr>
        <w:t>[Sic]</w:t>
      </w:r>
    </w:p>
    <w:p w:rsidR="00557495" w:rsidRDefault="00557495" w:rsidP="00615762">
      <w:pPr>
        <w:spacing w:after="0" w:line="336" w:lineRule="auto"/>
        <w:jc w:val="both"/>
        <w:rPr>
          <w:rFonts w:ascii="Palatino Linotype" w:hAnsi="Palatino Linotype"/>
          <w:sz w:val="24"/>
          <w:szCs w:val="24"/>
        </w:rPr>
      </w:pPr>
    </w:p>
    <w:p w:rsidR="00557495" w:rsidRDefault="00557495" w:rsidP="00615762">
      <w:pPr>
        <w:spacing w:after="0" w:line="336" w:lineRule="auto"/>
        <w:jc w:val="both"/>
        <w:rPr>
          <w:rFonts w:ascii="Palatino Linotype" w:hAnsi="Palatino Linotype"/>
          <w:sz w:val="24"/>
          <w:szCs w:val="24"/>
        </w:rPr>
      </w:pPr>
    </w:p>
    <w:p w:rsidR="00BA6F7E" w:rsidRDefault="00BA6F7E" w:rsidP="00615762">
      <w:pPr>
        <w:spacing w:after="0" w:line="336" w:lineRule="auto"/>
        <w:jc w:val="both"/>
        <w:rPr>
          <w:rFonts w:ascii="Palatino Linotype" w:hAnsi="Palatino Linotype"/>
          <w:sz w:val="24"/>
          <w:szCs w:val="24"/>
        </w:rPr>
      </w:pPr>
    </w:p>
    <w:p w:rsidR="007347D0" w:rsidRPr="003F1C95" w:rsidRDefault="00054E77" w:rsidP="00615762">
      <w:pPr>
        <w:spacing w:after="0" w:line="336" w:lineRule="auto"/>
        <w:jc w:val="both"/>
        <w:rPr>
          <w:rFonts w:ascii="Palatino Linotype" w:hAnsi="Palatino Linotype"/>
          <w:sz w:val="24"/>
          <w:szCs w:val="24"/>
        </w:rPr>
      </w:pPr>
      <w:r w:rsidRPr="003F1C95">
        <w:rPr>
          <w:rFonts w:ascii="Palatino Linotype" w:hAnsi="Palatino Linotype"/>
          <w:sz w:val="24"/>
          <w:szCs w:val="24"/>
        </w:rPr>
        <w:lastRenderedPageBreak/>
        <w:t xml:space="preserve">Inconforme con la </w:t>
      </w:r>
      <w:r w:rsidR="007347D0" w:rsidRPr="003F1C95">
        <w:rPr>
          <w:rFonts w:ascii="Palatino Linotype" w:hAnsi="Palatino Linotype"/>
          <w:sz w:val="24"/>
          <w:szCs w:val="24"/>
        </w:rPr>
        <w:t xml:space="preserve">falta de respuesta del </w:t>
      </w:r>
      <w:r w:rsidR="007347D0" w:rsidRPr="003F1C95">
        <w:rPr>
          <w:rFonts w:ascii="Palatino Linotype" w:hAnsi="Palatino Linotype"/>
          <w:b/>
          <w:sz w:val="24"/>
          <w:szCs w:val="24"/>
        </w:rPr>
        <w:t xml:space="preserve">Sujeto Obligado, La Recurrente </w:t>
      </w:r>
      <w:r w:rsidR="007347D0" w:rsidRPr="003F1C95">
        <w:rPr>
          <w:rFonts w:ascii="Palatino Linotype" w:hAnsi="Palatino Linotype"/>
          <w:sz w:val="24"/>
          <w:szCs w:val="24"/>
        </w:rPr>
        <w:t xml:space="preserve">interpuso recurso de revisión en fecha diez de noviembre de dos mil dieciocho, señalando motivos de inconformidad, cuyo contenido literal es del tenor siguiente: </w:t>
      </w:r>
    </w:p>
    <w:p w:rsidR="00D14EE5" w:rsidRPr="003F1C95" w:rsidRDefault="00BA6F7E" w:rsidP="00BA6F7E">
      <w:pPr>
        <w:spacing w:before="240" w:line="360" w:lineRule="auto"/>
        <w:ind w:left="851" w:right="851"/>
        <w:jc w:val="both"/>
        <w:rPr>
          <w:rFonts w:ascii="Palatino Linotype" w:hAnsi="Palatino Linotype"/>
          <w:b/>
          <w:i/>
        </w:rPr>
      </w:pPr>
      <w:r w:rsidRPr="007347D0">
        <w:rPr>
          <w:rFonts w:ascii="Palatino Linotype" w:hAnsi="Palatino Linotype"/>
          <w:i/>
          <w:color w:val="000000"/>
        </w:rPr>
        <w:t>“</w:t>
      </w:r>
      <w:r w:rsidR="007347D0" w:rsidRPr="007347D0">
        <w:rPr>
          <w:rFonts w:ascii="Palatino Linotype" w:hAnsi="Palatino Linotype"/>
          <w:i/>
        </w:rPr>
        <w:t>EL AYUNTAMIENTO IGNORO MI PETICION DE INFORMACION</w:t>
      </w:r>
      <w:r w:rsidR="00D14EE5" w:rsidRPr="007347D0">
        <w:rPr>
          <w:rFonts w:ascii="Palatino Linotype" w:hAnsi="Palatino Linotype"/>
          <w:i/>
          <w:color w:val="000000"/>
        </w:rPr>
        <w:t xml:space="preserve">” </w:t>
      </w:r>
      <w:r w:rsidR="003F1C95">
        <w:rPr>
          <w:rFonts w:ascii="Palatino Linotype" w:hAnsi="Palatino Linotype"/>
          <w:b/>
          <w:i/>
          <w:color w:val="000000"/>
        </w:rPr>
        <w:t>[Sic]</w:t>
      </w:r>
    </w:p>
    <w:p w:rsidR="00DD0673" w:rsidRPr="00E10CC9" w:rsidRDefault="00DD0673" w:rsidP="00AC0505">
      <w:pPr>
        <w:spacing w:after="0" w:line="360" w:lineRule="auto"/>
        <w:jc w:val="both"/>
        <w:rPr>
          <w:rFonts w:ascii="Palatino Linotype" w:hAnsi="Palatino Linotype"/>
        </w:rPr>
      </w:pPr>
    </w:p>
    <w:p w:rsidR="007347D0" w:rsidRPr="007347D0" w:rsidRDefault="00D14EE5" w:rsidP="00615762">
      <w:pPr>
        <w:spacing w:after="0" w:line="336" w:lineRule="auto"/>
        <w:jc w:val="both"/>
        <w:rPr>
          <w:rFonts w:ascii="Palatino Linotype" w:hAnsi="Palatino Linotype"/>
          <w:sz w:val="24"/>
          <w:szCs w:val="24"/>
        </w:rPr>
      </w:pPr>
      <w:r w:rsidRPr="00BA6F7E">
        <w:rPr>
          <w:rFonts w:ascii="Palatino Linotype" w:hAnsi="Palatino Linotype"/>
          <w:sz w:val="24"/>
          <w:szCs w:val="24"/>
        </w:rPr>
        <w:t xml:space="preserve">Asimismo, se precisa que </w:t>
      </w:r>
      <w:r w:rsidRPr="00BA6F7E">
        <w:rPr>
          <w:rFonts w:ascii="Palatino Linotype" w:hAnsi="Palatino Linotype"/>
          <w:b/>
          <w:sz w:val="24"/>
          <w:szCs w:val="24"/>
        </w:rPr>
        <w:t xml:space="preserve">El Sujeto Obligado </w:t>
      </w:r>
      <w:r w:rsidR="00BA6F7E" w:rsidRPr="00BA6F7E">
        <w:rPr>
          <w:rFonts w:ascii="Palatino Linotype" w:hAnsi="Palatino Linotype"/>
          <w:sz w:val="24"/>
          <w:szCs w:val="24"/>
        </w:rPr>
        <w:t xml:space="preserve">fue omiso en rendir su informe justificado. Por otra parte, </w:t>
      </w:r>
      <w:r w:rsidR="00BA6F7E">
        <w:rPr>
          <w:rFonts w:ascii="Palatino Linotype" w:hAnsi="Palatino Linotype"/>
          <w:sz w:val="24"/>
          <w:szCs w:val="24"/>
        </w:rPr>
        <w:t xml:space="preserve">se hace constar que </w:t>
      </w:r>
      <w:r w:rsidR="007347D0">
        <w:rPr>
          <w:rFonts w:ascii="Palatino Linotype" w:hAnsi="Palatino Linotype"/>
          <w:b/>
          <w:sz w:val="24"/>
          <w:szCs w:val="24"/>
        </w:rPr>
        <w:t>La</w:t>
      </w:r>
      <w:r w:rsidR="00BA6F7E">
        <w:rPr>
          <w:rFonts w:ascii="Palatino Linotype" w:hAnsi="Palatino Linotype"/>
          <w:b/>
          <w:sz w:val="24"/>
          <w:szCs w:val="24"/>
        </w:rPr>
        <w:t xml:space="preserve"> Recurrente, </w:t>
      </w:r>
      <w:r w:rsidR="007347D0">
        <w:rPr>
          <w:rFonts w:ascii="Palatino Linotype" w:hAnsi="Palatino Linotype"/>
          <w:sz w:val="24"/>
          <w:szCs w:val="24"/>
        </w:rPr>
        <w:t>rindió las manifestaciones consideradas pertinentes</w:t>
      </w:r>
      <w:r w:rsidR="001E36B1">
        <w:rPr>
          <w:rFonts w:ascii="Palatino Linotype" w:hAnsi="Palatino Linotype"/>
          <w:sz w:val="24"/>
          <w:szCs w:val="24"/>
        </w:rPr>
        <w:t xml:space="preserve"> mediante el</w:t>
      </w:r>
      <w:r w:rsidR="007347D0">
        <w:rPr>
          <w:rFonts w:ascii="Palatino Linotype" w:hAnsi="Palatino Linotype"/>
          <w:sz w:val="24"/>
          <w:szCs w:val="24"/>
        </w:rPr>
        <w:t xml:space="preserve"> documento electrónico </w:t>
      </w:r>
      <w:r w:rsidR="007347D0">
        <w:rPr>
          <w:rFonts w:ascii="Palatino Linotype" w:hAnsi="Palatino Linotype"/>
          <w:b/>
          <w:sz w:val="24"/>
          <w:szCs w:val="24"/>
        </w:rPr>
        <w:t xml:space="preserve">“02r.pdf”, </w:t>
      </w:r>
      <w:r w:rsidR="001E36B1">
        <w:rPr>
          <w:rFonts w:ascii="Palatino Linotype" w:hAnsi="Palatino Linotype"/>
          <w:sz w:val="24"/>
          <w:szCs w:val="24"/>
        </w:rPr>
        <w:t xml:space="preserve">mismo que compila el acuse de solicitud de información pública número </w:t>
      </w:r>
      <w:r w:rsidR="001E36B1">
        <w:rPr>
          <w:rFonts w:ascii="Palatino Linotype" w:hAnsi="Palatino Linotype"/>
          <w:b/>
          <w:sz w:val="24"/>
          <w:szCs w:val="24"/>
        </w:rPr>
        <w:t xml:space="preserve">00029/RAYON/IP/2018. </w:t>
      </w:r>
      <w:r w:rsidR="007347D0">
        <w:rPr>
          <w:rFonts w:ascii="Palatino Linotype" w:hAnsi="Palatino Linotype"/>
          <w:sz w:val="24"/>
          <w:szCs w:val="24"/>
        </w:rPr>
        <w:t xml:space="preserve"> </w:t>
      </w:r>
    </w:p>
    <w:p w:rsidR="007347D0" w:rsidRDefault="007347D0" w:rsidP="00615762">
      <w:pPr>
        <w:spacing w:after="0" w:line="336" w:lineRule="auto"/>
        <w:jc w:val="both"/>
        <w:rPr>
          <w:rFonts w:ascii="Palatino Linotype" w:hAnsi="Palatino Linotype"/>
          <w:sz w:val="24"/>
          <w:szCs w:val="24"/>
        </w:rPr>
      </w:pPr>
    </w:p>
    <w:p w:rsidR="001E36B1" w:rsidRDefault="00472D9C" w:rsidP="00615762">
      <w:pPr>
        <w:spacing w:after="0" w:line="336" w:lineRule="auto"/>
        <w:jc w:val="both"/>
        <w:rPr>
          <w:rFonts w:ascii="Palatino Linotype" w:hAnsi="Palatino Linotype"/>
          <w:sz w:val="24"/>
          <w:szCs w:val="24"/>
        </w:rPr>
      </w:pPr>
      <w:r w:rsidRPr="004D318F">
        <w:rPr>
          <w:rFonts w:ascii="Palatino Linotype" w:hAnsi="Palatino Linotype"/>
          <w:sz w:val="24"/>
          <w:szCs w:val="24"/>
        </w:rPr>
        <w:t xml:space="preserve">Una vez sentado lo anterior, </w:t>
      </w:r>
      <w:r w:rsidR="005D43C3" w:rsidRPr="004D318F">
        <w:rPr>
          <w:rFonts w:ascii="Palatino Linotype" w:hAnsi="Palatino Linotype"/>
          <w:sz w:val="24"/>
          <w:szCs w:val="24"/>
        </w:rPr>
        <w:t>es menester resaltar</w:t>
      </w:r>
      <w:r w:rsidRPr="004D318F">
        <w:rPr>
          <w:rFonts w:ascii="Palatino Linotype" w:hAnsi="Palatino Linotype"/>
          <w:sz w:val="24"/>
          <w:szCs w:val="24"/>
        </w:rPr>
        <w:t xml:space="preserve"> </w:t>
      </w:r>
      <w:r w:rsidR="001E36B1" w:rsidRPr="004D318F">
        <w:rPr>
          <w:rFonts w:ascii="Palatino Linotype" w:hAnsi="Palatino Linotype"/>
          <w:sz w:val="24"/>
          <w:szCs w:val="24"/>
        </w:rPr>
        <w:t xml:space="preserve">que se comparte el sentido en general de la resolución presentada por el Comisionado Ponente. Ahora bien, la suscrita no comparte la postura adoptada por </w:t>
      </w:r>
      <w:r w:rsidR="003F1C95">
        <w:rPr>
          <w:rFonts w:ascii="Palatino Linotype" w:hAnsi="Palatino Linotype"/>
          <w:sz w:val="24"/>
          <w:szCs w:val="24"/>
        </w:rPr>
        <w:t>la Ponencia Resolutora</w:t>
      </w:r>
      <w:r w:rsidR="001E36B1" w:rsidRPr="004D318F">
        <w:rPr>
          <w:rFonts w:ascii="Palatino Linotype" w:hAnsi="Palatino Linotype"/>
          <w:sz w:val="24"/>
          <w:szCs w:val="24"/>
        </w:rPr>
        <w:t xml:space="preserve"> en cuanto al Resolutivo </w:t>
      </w:r>
      <w:r w:rsidR="001E36B1" w:rsidRPr="004D318F">
        <w:rPr>
          <w:rFonts w:ascii="Palatino Linotype" w:hAnsi="Palatino Linotype"/>
          <w:b/>
          <w:sz w:val="24"/>
          <w:szCs w:val="24"/>
        </w:rPr>
        <w:t xml:space="preserve">SEGUNDO, </w:t>
      </w:r>
      <w:r w:rsidR="004D318F">
        <w:rPr>
          <w:rFonts w:ascii="Palatino Linotype" w:hAnsi="Palatino Linotype"/>
          <w:sz w:val="24"/>
          <w:szCs w:val="24"/>
        </w:rPr>
        <w:t>mismo que dispone a la literalidad:</w:t>
      </w:r>
    </w:p>
    <w:p w:rsidR="004D318F" w:rsidRPr="004D318F" w:rsidRDefault="004D318F" w:rsidP="004D318F">
      <w:pPr>
        <w:spacing w:before="240" w:line="360" w:lineRule="auto"/>
        <w:ind w:left="851" w:right="851"/>
        <w:jc w:val="both"/>
        <w:rPr>
          <w:rFonts w:ascii="Palatino Linotype" w:eastAsia="Calibri" w:hAnsi="Palatino Linotype" w:cs="Arial"/>
          <w:i/>
          <w:lang w:val="es-ES"/>
        </w:rPr>
      </w:pPr>
      <w:r w:rsidRPr="004D318F">
        <w:rPr>
          <w:rFonts w:ascii="Palatino Linotype" w:eastAsia="Calibri" w:hAnsi="Palatino Linotype" w:cs="Arial"/>
          <w:b/>
          <w:bCs/>
          <w:i/>
          <w:lang w:val="es-ES"/>
        </w:rPr>
        <w:t xml:space="preserve">“SEGUNDO. </w:t>
      </w:r>
      <w:r w:rsidRPr="004D318F">
        <w:rPr>
          <w:rFonts w:ascii="Palatino Linotype" w:eastAsia="Calibri" w:hAnsi="Palatino Linotype" w:cs="Arial"/>
          <w:i/>
          <w:lang w:val="es-ES"/>
        </w:rPr>
        <w:t xml:space="preserve">Se </w:t>
      </w:r>
      <w:r w:rsidRPr="004D318F">
        <w:rPr>
          <w:rFonts w:ascii="Palatino Linotype" w:eastAsia="Calibri" w:hAnsi="Palatino Linotype" w:cs="Arial"/>
          <w:b/>
          <w:i/>
          <w:lang w:val="es-ES"/>
        </w:rPr>
        <w:t xml:space="preserve">ORDENA </w:t>
      </w:r>
      <w:r w:rsidRPr="004D318F">
        <w:rPr>
          <w:rFonts w:ascii="Palatino Linotype" w:eastAsia="Calibri" w:hAnsi="Palatino Linotype" w:cs="Arial"/>
          <w:i/>
          <w:lang w:val="es-ES"/>
        </w:rPr>
        <w:t xml:space="preserve">al </w:t>
      </w:r>
      <w:r w:rsidRPr="004D318F">
        <w:rPr>
          <w:rFonts w:ascii="Palatino Linotype" w:eastAsia="Calibri" w:hAnsi="Palatino Linotype" w:cs="Arial"/>
          <w:b/>
          <w:i/>
          <w:lang w:val="es-ES"/>
        </w:rPr>
        <w:t xml:space="preserve">Ayuntamiento de Rayón </w:t>
      </w:r>
      <w:r w:rsidRPr="004D318F">
        <w:rPr>
          <w:rFonts w:ascii="Palatino Linotype" w:eastAsia="Calibri" w:hAnsi="Palatino Linotype" w:cs="Arial"/>
          <w:i/>
          <w:lang w:val="es-ES"/>
        </w:rPr>
        <w:t xml:space="preserve">dar atención a la solicitud de información </w:t>
      </w:r>
      <w:r w:rsidRPr="004D318F">
        <w:rPr>
          <w:rFonts w:ascii="Palatino Linotype" w:hAnsi="Palatino Linotype"/>
          <w:b/>
          <w:bCs/>
          <w:i/>
        </w:rPr>
        <w:t>00029/RAYON/IP/2018</w:t>
      </w:r>
      <w:r w:rsidRPr="004D318F">
        <w:rPr>
          <w:rFonts w:ascii="Palatino Linotype" w:eastAsia="Calibri" w:hAnsi="Palatino Linotype" w:cs="Arial"/>
          <w:i/>
          <w:lang w:val="es-ES"/>
        </w:rPr>
        <w:t xml:space="preserve"> </w:t>
      </w:r>
      <w:r w:rsidRPr="003F1C95">
        <w:rPr>
          <w:rFonts w:ascii="Palatino Linotype" w:eastAsia="Calibri" w:hAnsi="Palatino Linotype" w:cs="Arial"/>
          <w:b/>
          <w:i/>
          <w:u w:val="single"/>
          <w:lang w:val="es-ES"/>
        </w:rPr>
        <w:t>y en su caso, entregar la información</w:t>
      </w:r>
      <w:r w:rsidRPr="004D318F">
        <w:rPr>
          <w:rFonts w:ascii="Palatino Linotype" w:eastAsia="Calibri" w:hAnsi="Palatino Linotype" w:cs="Arial"/>
          <w:i/>
          <w:lang w:val="es-ES"/>
        </w:rPr>
        <w:t xml:space="preserve"> vía </w:t>
      </w:r>
      <w:r w:rsidRPr="004D318F">
        <w:rPr>
          <w:rFonts w:ascii="Palatino Linotype" w:eastAsia="Calibri" w:hAnsi="Palatino Linotype" w:cs="Arial"/>
          <w:i/>
        </w:rPr>
        <w:t>Sistema de Acceso a Información Mexiquense (</w:t>
      </w:r>
      <w:r w:rsidRPr="004D318F">
        <w:rPr>
          <w:rFonts w:ascii="Palatino Linotype" w:eastAsia="Calibri" w:hAnsi="Palatino Linotype" w:cs="Arial"/>
          <w:b/>
          <w:i/>
          <w:lang w:val="es-ES"/>
        </w:rPr>
        <w:t xml:space="preserve">SAIMEX).” </w:t>
      </w:r>
      <w:r w:rsidRPr="004D318F">
        <w:rPr>
          <w:rFonts w:ascii="Palatino Linotype" w:eastAsia="Calibri" w:hAnsi="Palatino Linotype" w:cs="Arial"/>
          <w:i/>
          <w:lang w:val="es-ES"/>
        </w:rPr>
        <w:t>[Sic]</w:t>
      </w:r>
    </w:p>
    <w:p w:rsidR="004D318F" w:rsidRPr="004D318F" w:rsidRDefault="004D318F" w:rsidP="00615762">
      <w:pPr>
        <w:spacing w:after="0" w:line="336" w:lineRule="auto"/>
        <w:jc w:val="both"/>
        <w:rPr>
          <w:rFonts w:ascii="Palatino Linotype" w:hAnsi="Palatino Linotype"/>
          <w:sz w:val="24"/>
          <w:szCs w:val="24"/>
        </w:rPr>
      </w:pPr>
    </w:p>
    <w:p w:rsidR="001E36B1" w:rsidRPr="004D318F" w:rsidRDefault="001E36B1" w:rsidP="00615762">
      <w:pPr>
        <w:spacing w:after="0" w:line="336" w:lineRule="auto"/>
        <w:jc w:val="both"/>
        <w:rPr>
          <w:rFonts w:ascii="Palatino Linotype" w:hAnsi="Palatino Linotype"/>
          <w:sz w:val="24"/>
          <w:szCs w:val="24"/>
        </w:rPr>
      </w:pPr>
      <w:r w:rsidRPr="004D318F">
        <w:rPr>
          <w:rFonts w:ascii="Palatino Linotype" w:hAnsi="Palatino Linotype"/>
          <w:sz w:val="24"/>
          <w:szCs w:val="24"/>
        </w:rPr>
        <w:t xml:space="preserve">En una aproximación inicial, debemos de referir que el artículo 188 </w:t>
      </w:r>
      <w:r w:rsidR="003F1C95">
        <w:rPr>
          <w:rFonts w:ascii="Palatino Linotype" w:hAnsi="Palatino Linotype"/>
          <w:sz w:val="24"/>
          <w:szCs w:val="24"/>
        </w:rPr>
        <w:t xml:space="preserve">de la Ley de Transparencia y Acceso a la Información Pública del Estado de México y Municipios </w:t>
      </w:r>
      <w:r w:rsidRPr="004D318F">
        <w:rPr>
          <w:rFonts w:ascii="Palatino Linotype" w:hAnsi="Palatino Linotype"/>
          <w:sz w:val="24"/>
          <w:szCs w:val="24"/>
        </w:rPr>
        <w:lastRenderedPageBreak/>
        <w:t xml:space="preserve">engloba los requisitos mínimos que deben de contener las resoluciones que pronuncie este </w:t>
      </w:r>
      <w:r w:rsidR="004D318F" w:rsidRPr="004D318F">
        <w:rPr>
          <w:rFonts w:ascii="Palatino Linotype" w:hAnsi="Palatino Linotype"/>
          <w:sz w:val="24"/>
          <w:szCs w:val="24"/>
        </w:rPr>
        <w:t>Órgano</w:t>
      </w:r>
      <w:r w:rsidRPr="004D318F">
        <w:rPr>
          <w:rFonts w:ascii="Palatino Linotype" w:hAnsi="Palatino Linotype"/>
          <w:sz w:val="24"/>
          <w:szCs w:val="24"/>
        </w:rPr>
        <w:t xml:space="preserve"> Garante </w:t>
      </w:r>
      <w:r w:rsidR="003F1C95">
        <w:rPr>
          <w:rFonts w:ascii="Palatino Linotype" w:hAnsi="Palatino Linotype"/>
          <w:sz w:val="24"/>
          <w:szCs w:val="24"/>
        </w:rPr>
        <w:t>al</w:t>
      </w:r>
      <w:r w:rsidRPr="004D318F">
        <w:rPr>
          <w:rFonts w:ascii="Palatino Linotype" w:hAnsi="Palatino Linotype"/>
          <w:sz w:val="24"/>
          <w:szCs w:val="24"/>
        </w:rPr>
        <w:t xml:space="preserve"> resolver los recursos de revisión planteados, norm</w:t>
      </w:r>
      <w:r w:rsidR="00EC2F35" w:rsidRPr="004D318F">
        <w:rPr>
          <w:rFonts w:ascii="Palatino Linotype" w:hAnsi="Palatino Linotype"/>
          <w:sz w:val="24"/>
          <w:szCs w:val="24"/>
        </w:rPr>
        <w:t xml:space="preserve">atividad que </w:t>
      </w:r>
      <w:r w:rsidR="003F1C95">
        <w:rPr>
          <w:rFonts w:ascii="Palatino Linotype" w:hAnsi="Palatino Linotype"/>
          <w:sz w:val="24"/>
          <w:szCs w:val="24"/>
        </w:rPr>
        <w:t>a la letra reza:</w:t>
      </w:r>
      <w:r w:rsidR="00EC2F35" w:rsidRPr="004D318F">
        <w:rPr>
          <w:rFonts w:ascii="Palatino Linotype" w:hAnsi="Palatino Linotype"/>
          <w:sz w:val="24"/>
          <w:szCs w:val="24"/>
        </w:rPr>
        <w:t xml:space="preserve"> </w:t>
      </w:r>
    </w:p>
    <w:p w:rsidR="00EC2F35" w:rsidRPr="004D318F" w:rsidRDefault="004D318F" w:rsidP="004D318F">
      <w:pPr>
        <w:spacing w:before="240" w:line="360" w:lineRule="auto"/>
        <w:ind w:left="851" w:right="851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“</w:t>
      </w:r>
      <w:r w:rsidR="00EC2F35" w:rsidRPr="004D318F">
        <w:rPr>
          <w:rFonts w:ascii="Palatino Linotype" w:hAnsi="Palatino Linotype"/>
          <w:i/>
        </w:rPr>
        <w:t xml:space="preserve">Artículo 188. Las resoluciones que pronuncie el Instituto para resolver los recursos que le sean planteados, deberán contener: </w:t>
      </w:r>
    </w:p>
    <w:p w:rsidR="00EC2F35" w:rsidRPr="004D318F" w:rsidRDefault="00EC2F35" w:rsidP="004D318F">
      <w:pPr>
        <w:spacing w:before="240" w:line="360" w:lineRule="auto"/>
        <w:ind w:left="851" w:right="851"/>
        <w:jc w:val="both"/>
        <w:rPr>
          <w:rFonts w:ascii="Palatino Linotype" w:hAnsi="Palatino Linotype"/>
          <w:i/>
        </w:rPr>
      </w:pPr>
      <w:r w:rsidRPr="004D318F">
        <w:rPr>
          <w:rFonts w:ascii="Palatino Linotype" w:hAnsi="Palatino Linotype"/>
          <w:i/>
        </w:rPr>
        <w:t xml:space="preserve"> I. Lugar, fecha, el nombre del recurrente y del tercero interesado en su caso, sujeto obligado y un extracto de los hechos cuestionados;  </w:t>
      </w:r>
    </w:p>
    <w:p w:rsidR="00EC2F35" w:rsidRPr="004D318F" w:rsidRDefault="00EC2F35" w:rsidP="004D318F">
      <w:pPr>
        <w:spacing w:before="240" w:line="360" w:lineRule="auto"/>
        <w:ind w:left="851" w:right="851"/>
        <w:jc w:val="both"/>
        <w:rPr>
          <w:rFonts w:ascii="Palatino Linotype" w:hAnsi="Palatino Linotype"/>
          <w:i/>
        </w:rPr>
      </w:pPr>
      <w:r w:rsidRPr="004D318F">
        <w:rPr>
          <w:rFonts w:ascii="Palatino Linotype" w:hAnsi="Palatino Linotype"/>
          <w:i/>
        </w:rPr>
        <w:t xml:space="preserve"> II. Los preceptos en que se fundamenten y las consideraciones que las sustenten; </w:t>
      </w:r>
    </w:p>
    <w:p w:rsidR="00EC2F35" w:rsidRPr="004D318F" w:rsidRDefault="00EC2F35" w:rsidP="004D318F">
      <w:pPr>
        <w:spacing w:before="240" w:line="360" w:lineRule="auto"/>
        <w:ind w:left="851" w:right="851"/>
        <w:jc w:val="both"/>
        <w:rPr>
          <w:rFonts w:ascii="Palatino Linotype" w:hAnsi="Palatino Linotype"/>
          <w:i/>
        </w:rPr>
      </w:pPr>
      <w:r w:rsidRPr="004D318F">
        <w:rPr>
          <w:rFonts w:ascii="Palatino Linotype" w:hAnsi="Palatino Linotype"/>
          <w:i/>
        </w:rPr>
        <w:t xml:space="preserve"> III- Los alcances y efectos de la resolución, fijando con precisión, en su caso, los sujetos y órganos obligados a cumplirla; y  </w:t>
      </w:r>
    </w:p>
    <w:p w:rsidR="00EC2F35" w:rsidRPr="004D318F" w:rsidRDefault="00EC2F35" w:rsidP="004D318F">
      <w:pPr>
        <w:spacing w:before="240" w:line="360" w:lineRule="auto"/>
        <w:ind w:left="851" w:right="851"/>
        <w:jc w:val="both"/>
        <w:rPr>
          <w:rFonts w:ascii="Palatino Linotype" w:hAnsi="Palatino Linotype"/>
          <w:i/>
        </w:rPr>
      </w:pPr>
      <w:r w:rsidRPr="004D318F">
        <w:rPr>
          <w:rFonts w:ascii="Palatino Linotype" w:hAnsi="Palatino Linotype"/>
          <w:i/>
        </w:rPr>
        <w:t xml:space="preserve"> </w:t>
      </w:r>
      <w:r w:rsidRPr="004D318F">
        <w:rPr>
          <w:rFonts w:ascii="Palatino Linotype" w:hAnsi="Palatino Linotype"/>
          <w:b/>
          <w:i/>
          <w:u w:val="single"/>
        </w:rPr>
        <w:t>IV. Los puntos resolutivos.</w:t>
      </w:r>
      <w:r w:rsidR="004D318F" w:rsidRPr="004D318F">
        <w:rPr>
          <w:rFonts w:ascii="Palatino Linotype" w:hAnsi="Palatino Linotype"/>
          <w:b/>
          <w:i/>
        </w:rPr>
        <w:t xml:space="preserve">” </w:t>
      </w:r>
      <w:r w:rsidR="004D318F">
        <w:rPr>
          <w:rFonts w:ascii="Palatino Linotype" w:hAnsi="Palatino Linotype"/>
          <w:b/>
          <w:i/>
          <w:u w:val="single"/>
        </w:rPr>
        <w:t xml:space="preserve"> </w:t>
      </w:r>
      <w:r w:rsidR="004D318F">
        <w:rPr>
          <w:rFonts w:ascii="Palatino Linotype" w:hAnsi="Palatino Linotype"/>
          <w:i/>
        </w:rPr>
        <w:t>[Sic]</w:t>
      </w:r>
    </w:p>
    <w:p w:rsidR="00EC2F35" w:rsidRDefault="00EC2F35" w:rsidP="00EC2F35">
      <w:pPr>
        <w:spacing w:after="0" w:line="336" w:lineRule="auto"/>
        <w:jc w:val="both"/>
        <w:rPr>
          <w:rFonts w:ascii="Palatino Linotype" w:hAnsi="Palatino Linotype"/>
          <w:sz w:val="24"/>
          <w:szCs w:val="24"/>
          <w:highlight w:val="yellow"/>
        </w:rPr>
      </w:pPr>
    </w:p>
    <w:p w:rsidR="00EC2F35" w:rsidRDefault="00EC2F35" w:rsidP="00EC2F35">
      <w:pPr>
        <w:spacing w:after="0" w:line="336" w:lineRule="auto"/>
        <w:jc w:val="both"/>
        <w:rPr>
          <w:rFonts w:ascii="Palatino Linotype" w:hAnsi="Palatino Linotype"/>
          <w:sz w:val="24"/>
          <w:szCs w:val="24"/>
          <w:highlight w:val="yellow"/>
        </w:rPr>
      </w:pPr>
    </w:p>
    <w:p w:rsidR="00EC2F35" w:rsidRPr="004D318F" w:rsidRDefault="00EC2F35" w:rsidP="00EC2F35">
      <w:pPr>
        <w:spacing w:after="0" w:line="336" w:lineRule="auto"/>
        <w:jc w:val="both"/>
        <w:rPr>
          <w:rFonts w:ascii="Palatino Linotype" w:hAnsi="Palatino Linotype"/>
          <w:sz w:val="24"/>
          <w:szCs w:val="24"/>
        </w:rPr>
      </w:pPr>
      <w:r w:rsidRPr="004D318F">
        <w:rPr>
          <w:rFonts w:ascii="Palatino Linotype" w:hAnsi="Palatino Linotype"/>
          <w:sz w:val="24"/>
          <w:szCs w:val="24"/>
        </w:rPr>
        <w:t>A mayor abundamiento, vale la pena mencionar que Cipriano Gómez Lara (2004) define a los puntos resolutivos como:</w:t>
      </w:r>
      <w:r w:rsidR="00D57F7B">
        <w:rPr>
          <w:rStyle w:val="Refdenotaalpie"/>
          <w:rFonts w:ascii="Palatino Linotype" w:hAnsi="Palatino Linotype"/>
          <w:sz w:val="24"/>
          <w:szCs w:val="24"/>
        </w:rPr>
        <w:footnoteReference w:id="1"/>
      </w:r>
    </w:p>
    <w:p w:rsidR="00EC2F35" w:rsidRPr="004D318F" w:rsidRDefault="00EC2F35" w:rsidP="004D318F">
      <w:pPr>
        <w:spacing w:before="240" w:line="360" w:lineRule="auto"/>
        <w:ind w:left="851" w:right="851"/>
        <w:jc w:val="both"/>
        <w:rPr>
          <w:rFonts w:ascii="Palatino Linotype" w:hAnsi="Palatino Linotype"/>
          <w:i/>
        </w:rPr>
      </w:pPr>
      <w:r w:rsidRPr="004D318F">
        <w:rPr>
          <w:rFonts w:ascii="Palatino Linotype" w:hAnsi="Palatino Linotype"/>
          <w:i/>
        </w:rPr>
        <w:t>“Son su parte final, en la que se precisa de forma muy concreta, si el sentido de la resolución es favorable o desfavorable; se precisan los plazos para que se cumpla la sentencia y, en resume, se resuelve el asunt</w:t>
      </w:r>
      <w:r w:rsidR="004D318F" w:rsidRPr="004D318F">
        <w:rPr>
          <w:rFonts w:ascii="Palatino Linotype" w:hAnsi="Palatino Linotype"/>
          <w:i/>
        </w:rPr>
        <w:t xml:space="preserve">o </w:t>
      </w:r>
      <w:r w:rsidR="004D318F" w:rsidRPr="00E333DB">
        <w:rPr>
          <w:rFonts w:ascii="Palatino Linotype" w:hAnsi="Palatino Linotype"/>
          <w:b/>
          <w:i/>
        </w:rPr>
        <w:t>(…)”</w:t>
      </w:r>
      <w:r w:rsidR="004D318F" w:rsidRPr="004D318F">
        <w:rPr>
          <w:rFonts w:ascii="Palatino Linotype" w:hAnsi="Palatino Linotype"/>
          <w:i/>
        </w:rPr>
        <w:t xml:space="preserve"> </w:t>
      </w:r>
      <w:r w:rsidR="004D318F" w:rsidRPr="004D318F">
        <w:rPr>
          <w:rFonts w:ascii="Palatino Linotype" w:hAnsi="Palatino Linotype"/>
          <w:b/>
          <w:i/>
        </w:rPr>
        <w:t>[Sic]</w:t>
      </w:r>
    </w:p>
    <w:p w:rsidR="004D318F" w:rsidRDefault="004D318F" w:rsidP="00EC2F35">
      <w:pPr>
        <w:spacing w:after="0" w:line="336" w:lineRule="auto"/>
        <w:jc w:val="both"/>
        <w:rPr>
          <w:rFonts w:ascii="Palatino Linotype" w:hAnsi="Palatino Linotype"/>
          <w:sz w:val="24"/>
          <w:szCs w:val="24"/>
        </w:rPr>
      </w:pPr>
      <w:r w:rsidRPr="004D318F">
        <w:rPr>
          <w:rFonts w:ascii="Palatino Linotype" w:hAnsi="Palatino Linotype"/>
          <w:sz w:val="24"/>
          <w:szCs w:val="24"/>
        </w:rPr>
        <w:t xml:space="preserve">Bajo estas líneas argumentativas, </w:t>
      </w:r>
      <w:r>
        <w:rPr>
          <w:rFonts w:ascii="Palatino Linotype" w:hAnsi="Palatino Linotype"/>
          <w:sz w:val="24"/>
          <w:szCs w:val="24"/>
        </w:rPr>
        <w:t>es requisito de toda resolución la congruencia entre los considerandos y los puntos resolutivos en tanto que ésta constituye una unidad y los razonamientos contenidos en los primeros son elementos fundamentales para determinar el alcance preciso de la decisión.</w:t>
      </w:r>
    </w:p>
    <w:p w:rsidR="004D318F" w:rsidRDefault="004D318F" w:rsidP="00EC2F35">
      <w:pPr>
        <w:spacing w:after="0" w:line="336" w:lineRule="auto"/>
        <w:jc w:val="both"/>
        <w:rPr>
          <w:rFonts w:ascii="Palatino Linotype" w:hAnsi="Palatino Linotype"/>
          <w:sz w:val="24"/>
          <w:szCs w:val="24"/>
        </w:rPr>
      </w:pPr>
    </w:p>
    <w:p w:rsidR="001F5D24" w:rsidRDefault="004D318F" w:rsidP="00615762">
      <w:pPr>
        <w:spacing w:after="0" w:line="33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24"/>
          <w:szCs w:val="24"/>
        </w:rPr>
        <w:t xml:space="preserve">En este tenor, la suscrita no comparte la postura adoptada por el Comisionado Ponente, si bien es cierto que la Ponencia Resolutora advierte en estudio </w:t>
      </w:r>
      <w:r w:rsidR="003F1C95">
        <w:rPr>
          <w:rFonts w:ascii="Palatino Linotype" w:hAnsi="Palatino Linotype"/>
          <w:sz w:val="24"/>
          <w:szCs w:val="24"/>
        </w:rPr>
        <w:t xml:space="preserve">la naturaleza </w:t>
      </w:r>
      <w:r w:rsidR="00E333DB">
        <w:rPr>
          <w:rFonts w:ascii="Palatino Linotype" w:hAnsi="Palatino Linotype"/>
          <w:sz w:val="24"/>
          <w:szCs w:val="24"/>
        </w:rPr>
        <w:t xml:space="preserve">y alcance </w:t>
      </w:r>
      <w:r w:rsidR="003F1C95">
        <w:rPr>
          <w:rFonts w:ascii="Palatino Linotype" w:hAnsi="Palatino Linotype"/>
          <w:sz w:val="24"/>
          <w:szCs w:val="24"/>
        </w:rPr>
        <w:t>del requerimiento formulado por la ciudadana</w:t>
      </w:r>
      <w:r>
        <w:rPr>
          <w:rFonts w:ascii="Palatino Linotype" w:hAnsi="Palatino Linotype"/>
          <w:sz w:val="24"/>
          <w:szCs w:val="24"/>
        </w:rPr>
        <w:t>, lo cierto es que las consideraciones expuestas deben de reflejarse en los pu</w:t>
      </w:r>
      <w:r w:rsidR="003F1C95">
        <w:rPr>
          <w:rFonts w:ascii="Palatino Linotype" w:hAnsi="Palatino Linotype"/>
          <w:sz w:val="24"/>
          <w:szCs w:val="24"/>
        </w:rPr>
        <w:t>n</w:t>
      </w:r>
      <w:r>
        <w:rPr>
          <w:rFonts w:ascii="Palatino Linotype" w:hAnsi="Palatino Linotype"/>
          <w:sz w:val="24"/>
          <w:szCs w:val="24"/>
        </w:rPr>
        <w:t xml:space="preserve">tos resolutivos, por ello, se debió de precisar en dichos puntos que información es susceptible de ser entregada, salvaguardando el </w:t>
      </w:r>
      <w:r w:rsidR="003F1C95">
        <w:rPr>
          <w:rFonts w:ascii="Palatino Linotype" w:hAnsi="Palatino Linotype"/>
          <w:sz w:val="24"/>
          <w:szCs w:val="24"/>
        </w:rPr>
        <w:t xml:space="preserve">principio de certeza previsto en el artículo 9 fracción I de la Ley de Transparencia y Acceso a la Información Pública del Estado de México y Municipios, </w:t>
      </w:r>
      <w:r w:rsidR="008F35D7">
        <w:rPr>
          <w:rFonts w:ascii="Palatino Linotype" w:hAnsi="Palatino Linotype"/>
          <w:sz w:val="24"/>
          <w:szCs w:val="24"/>
        </w:rPr>
        <w:t>y</w:t>
      </w:r>
      <w:r w:rsidR="001F5D24" w:rsidRPr="00453637">
        <w:rPr>
          <w:rFonts w:ascii="Palatino Linotype" w:hAnsi="Palatino Linotype"/>
          <w:sz w:val="24"/>
          <w:szCs w:val="24"/>
        </w:rPr>
        <w:t xml:space="preserve"> es en ese sentido como he de emi</w:t>
      </w:r>
      <w:r w:rsidR="00441139" w:rsidRPr="00453637">
        <w:rPr>
          <w:rFonts w:ascii="Palatino Linotype" w:hAnsi="Palatino Linotype"/>
          <w:sz w:val="24"/>
          <w:szCs w:val="24"/>
        </w:rPr>
        <w:t>tir el presente voto particular.</w:t>
      </w:r>
      <w:r w:rsidR="00441139">
        <w:rPr>
          <w:rFonts w:ascii="Palatino Linotype" w:hAnsi="Palatino Linotype"/>
        </w:rPr>
        <w:t xml:space="preserve"> </w:t>
      </w:r>
    </w:p>
    <w:p w:rsidR="00D10DA4" w:rsidRDefault="00D10DA4" w:rsidP="003A327A">
      <w:pPr>
        <w:spacing w:after="0" w:line="360" w:lineRule="auto"/>
        <w:jc w:val="both"/>
        <w:rPr>
          <w:rFonts w:ascii="Palatino Linotype" w:hAnsi="Palatino Linotype"/>
        </w:rPr>
      </w:pPr>
    </w:p>
    <w:p w:rsidR="00615762" w:rsidRDefault="00615762" w:rsidP="003A327A">
      <w:pPr>
        <w:spacing w:after="0" w:line="360" w:lineRule="auto"/>
        <w:jc w:val="both"/>
        <w:rPr>
          <w:rFonts w:ascii="Palatino Linotype" w:hAnsi="Palatino Linotype"/>
        </w:rPr>
      </w:pPr>
    </w:p>
    <w:p w:rsidR="00265DEA" w:rsidRDefault="00265DEA" w:rsidP="00265DEA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875B08">
        <w:rPr>
          <w:rFonts w:ascii="Palatino Linotype" w:hAnsi="Palatino Linotype"/>
          <w:b/>
          <w:sz w:val="24"/>
          <w:szCs w:val="24"/>
        </w:rPr>
        <w:t>Zulema Martínez Sánchez</w:t>
      </w:r>
    </w:p>
    <w:p w:rsidR="00265DEA" w:rsidRDefault="00265DEA" w:rsidP="00265DEA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875B08">
        <w:rPr>
          <w:rFonts w:ascii="Palatino Linotype" w:hAnsi="Palatino Linotype"/>
          <w:b/>
          <w:sz w:val="24"/>
          <w:szCs w:val="24"/>
        </w:rPr>
        <w:t>Comisionada</w:t>
      </w:r>
      <w:r w:rsidR="00001252">
        <w:rPr>
          <w:rFonts w:ascii="Palatino Linotype" w:hAnsi="Palatino Linotype"/>
          <w:b/>
          <w:sz w:val="24"/>
          <w:szCs w:val="24"/>
        </w:rPr>
        <w:t xml:space="preserve"> Presidenta</w:t>
      </w:r>
    </w:p>
    <w:p w:rsidR="003F1C95" w:rsidRDefault="003F1C95" w:rsidP="00265DEA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(Rúbrica)</w:t>
      </w:r>
    </w:p>
    <w:p w:rsidR="00265DEA" w:rsidRDefault="00265DEA" w:rsidP="00265DEA">
      <w:pPr>
        <w:spacing w:after="0" w:line="360" w:lineRule="auto"/>
        <w:jc w:val="both"/>
        <w:rPr>
          <w:rFonts w:ascii="Palatino Linotype" w:hAnsi="Palatino Linotype"/>
          <w:sz w:val="16"/>
          <w:szCs w:val="20"/>
        </w:rPr>
      </w:pPr>
    </w:p>
    <w:p w:rsidR="004F09AD" w:rsidRDefault="004F09AD" w:rsidP="00265DEA">
      <w:pPr>
        <w:spacing w:after="0" w:line="360" w:lineRule="auto"/>
        <w:jc w:val="both"/>
        <w:rPr>
          <w:rFonts w:ascii="Palatino Linotype" w:hAnsi="Palatino Linotype"/>
          <w:sz w:val="16"/>
          <w:szCs w:val="20"/>
        </w:rPr>
      </w:pPr>
    </w:p>
    <w:p w:rsidR="00C740F5" w:rsidRDefault="00C740F5" w:rsidP="00265DEA">
      <w:pPr>
        <w:spacing w:after="0" w:line="360" w:lineRule="auto"/>
        <w:jc w:val="both"/>
        <w:rPr>
          <w:rFonts w:ascii="Palatino Linotype" w:hAnsi="Palatino Linotype"/>
          <w:sz w:val="16"/>
          <w:szCs w:val="20"/>
        </w:rPr>
      </w:pPr>
    </w:p>
    <w:p w:rsidR="00E333DB" w:rsidRDefault="00E333DB" w:rsidP="00265DEA">
      <w:pPr>
        <w:spacing w:after="0" w:line="360" w:lineRule="auto"/>
        <w:jc w:val="both"/>
        <w:rPr>
          <w:rFonts w:ascii="Palatino Linotype" w:hAnsi="Palatino Linotype"/>
          <w:sz w:val="16"/>
          <w:szCs w:val="20"/>
        </w:rPr>
      </w:pPr>
    </w:p>
    <w:p w:rsidR="002B2DC5" w:rsidRDefault="002B2DC5" w:rsidP="00265DEA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001252" w:rsidRPr="00001252" w:rsidRDefault="00C2035F" w:rsidP="00265DEA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E</w:t>
      </w:r>
      <w:r w:rsidR="00001252">
        <w:rPr>
          <w:rFonts w:ascii="Palatino Linotype" w:hAnsi="Palatino Linotype"/>
          <w:sz w:val="20"/>
          <w:szCs w:val="20"/>
        </w:rPr>
        <w:t>sta hoja corresponde al voto particular emitido</w:t>
      </w:r>
      <w:r w:rsidR="00453637">
        <w:rPr>
          <w:rFonts w:ascii="Palatino Linotype" w:hAnsi="Palatino Linotype"/>
          <w:sz w:val="20"/>
          <w:szCs w:val="20"/>
        </w:rPr>
        <w:t xml:space="preserve"> en el recurso de revisión 0</w:t>
      </w:r>
      <w:r w:rsidR="003F1C95">
        <w:rPr>
          <w:rFonts w:ascii="Palatino Linotype" w:hAnsi="Palatino Linotype"/>
          <w:sz w:val="20"/>
          <w:szCs w:val="20"/>
        </w:rPr>
        <w:t>4293</w:t>
      </w:r>
      <w:r w:rsidR="00001252">
        <w:rPr>
          <w:rFonts w:ascii="Palatino Linotype" w:hAnsi="Palatino Linotype"/>
          <w:sz w:val="20"/>
          <w:szCs w:val="20"/>
        </w:rPr>
        <w:t xml:space="preserve">/INFOEM/IP/RR/2018 en fecha </w:t>
      </w:r>
      <w:r w:rsidR="003F1C95">
        <w:rPr>
          <w:rFonts w:ascii="Palatino Linotype" w:hAnsi="Palatino Linotype"/>
          <w:sz w:val="20"/>
          <w:szCs w:val="20"/>
        </w:rPr>
        <w:t xml:space="preserve">treinta de enero de dos mil diecinueve. </w:t>
      </w:r>
      <w:r w:rsidR="00001252">
        <w:rPr>
          <w:rFonts w:ascii="Palatino Linotype" w:hAnsi="Palatino Linotype"/>
          <w:sz w:val="20"/>
          <w:szCs w:val="20"/>
        </w:rPr>
        <w:t xml:space="preserve"> </w:t>
      </w:r>
    </w:p>
    <w:p w:rsidR="00AC0505" w:rsidRPr="009712F5" w:rsidRDefault="00265DEA" w:rsidP="00AC0505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 w:rsidRPr="009712F5">
        <w:rPr>
          <w:rFonts w:ascii="Palatino Linotype" w:hAnsi="Palatino Linotype"/>
          <w:b/>
          <w:sz w:val="20"/>
          <w:szCs w:val="20"/>
        </w:rPr>
        <w:t>OSAM/JCMA</w:t>
      </w:r>
      <w:r w:rsidR="00001252" w:rsidRPr="009712F5">
        <w:rPr>
          <w:rFonts w:ascii="Palatino Linotype" w:hAnsi="Palatino Linotype"/>
          <w:b/>
          <w:sz w:val="20"/>
          <w:szCs w:val="20"/>
        </w:rPr>
        <w:t xml:space="preserve"> </w:t>
      </w:r>
    </w:p>
    <w:sectPr w:rsidR="00AC0505" w:rsidRPr="009712F5" w:rsidSect="00557495">
      <w:headerReference w:type="even" r:id="rId8"/>
      <w:headerReference w:type="default" r:id="rId9"/>
      <w:footerReference w:type="default" r:id="rId10"/>
      <w:pgSz w:w="12240" w:h="15840"/>
      <w:pgMar w:top="1871" w:right="1327" w:bottom="2836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107" w:rsidRDefault="00910107" w:rsidP="00AC0505">
      <w:pPr>
        <w:spacing w:after="0" w:line="240" w:lineRule="auto"/>
      </w:pPr>
      <w:r>
        <w:separator/>
      </w:r>
    </w:p>
  </w:endnote>
  <w:endnote w:type="continuationSeparator" w:id="0">
    <w:p w:rsidR="00910107" w:rsidRDefault="00910107" w:rsidP="00AC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495" w:rsidRPr="006C50A8" w:rsidRDefault="00557495" w:rsidP="00557495">
    <w:pPr>
      <w:pStyle w:val="Piedepgina"/>
      <w:jc w:val="right"/>
      <w:rPr>
        <w:rFonts w:ascii="Palatino Linotype" w:hAnsi="Palatino Linotype" w:cs="Arial"/>
        <w:sz w:val="22"/>
        <w:szCs w:val="22"/>
      </w:rPr>
    </w:pPr>
    <w:r w:rsidRPr="006C50A8">
      <w:rPr>
        <w:rFonts w:ascii="Palatino Linotype" w:hAnsi="Palatino Linotype" w:cs="Arial"/>
        <w:b/>
        <w:bCs/>
        <w:sz w:val="22"/>
        <w:szCs w:val="22"/>
      </w:rPr>
      <w:fldChar w:fldCharType="begin"/>
    </w:r>
    <w:r w:rsidRPr="006C50A8">
      <w:rPr>
        <w:rFonts w:ascii="Palatino Linotype" w:hAnsi="Palatino Linotype" w:cs="Arial"/>
        <w:b/>
        <w:bCs/>
        <w:sz w:val="22"/>
        <w:szCs w:val="22"/>
      </w:rPr>
      <w:instrText>PAGE</w:instrTex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separate"/>
    </w:r>
    <w:r w:rsidR="002A3256">
      <w:rPr>
        <w:rFonts w:ascii="Palatino Linotype" w:hAnsi="Palatino Linotype" w:cs="Arial"/>
        <w:b/>
        <w:bCs/>
        <w:noProof/>
        <w:sz w:val="22"/>
        <w:szCs w:val="22"/>
      </w:rPr>
      <w:t>1</w: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end"/>
    </w:r>
    <w:r w:rsidRPr="006C50A8">
      <w:rPr>
        <w:rFonts w:ascii="Palatino Linotype" w:hAnsi="Palatino Linotype" w:cs="Arial"/>
        <w:sz w:val="22"/>
        <w:szCs w:val="22"/>
      </w:rPr>
      <w:t xml:space="preserve"> de </w: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begin"/>
    </w:r>
    <w:r w:rsidRPr="006C50A8">
      <w:rPr>
        <w:rFonts w:ascii="Palatino Linotype" w:hAnsi="Palatino Linotype" w:cs="Arial"/>
        <w:b/>
        <w:bCs/>
        <w:sz w:val="22"/>
        <w:szCs w:val="22"/>
      </w:rPr>
      <w:instrText>NUMPAGES</w:instrTex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separate"/>
    </w:r>
    <w:r w:rsidR="002A3256">
      <w:rPr>
        <w:rFonts w:ascii="Palatino Linotype" w:hAnsi="Palatino Linotype" w:cs="Arial"/>
        <w:b/>
        <w:bCs/>
        <w:noProof/>
        <w:sz w:val="22"/>
        <w:szCs w:val="22"/>
      </w:rPr>
      <w:t>5</w: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end"/>
    </w:r>
  </w:p>
  <w:p w:rsidR="00557495" w:rsidRDefault="00557495" w:rsidP="0055749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107" w:rsidRDefault="00910107" w:rsidP="00AC0505">
      <w:pPr>
        <w:spacing w:after="0" w:line="240" w:lineRule="auto"/>
      </w:pPr>
      <w:r>
        <w:separator/>
      </w:r>
    </w:p>
  </w:footnote>
  <w:footnote w:type="continuationSeparator" w:id="0">
    <w:p w:rsidR="00910107" w:rsidRDefault="00910107" w:rsidP="00AC0505">
      <w:pPr>
        <w:spacing w:after="0" w:line="240" w:lineRule="auto"/>
      </w:pPr>
      <w:r>
        <w:continuationSeparator/>
      </w:r>
    </w:p>
  </w:footnote>
  <w:footnote w:id="1">
    <w:p w:rsidR="00D57F7B" w:rsidRPr="00D57F7B" w:rsidRDefault="00D57F7B">
      <w:pPr>
        <w:pStyle w:val="Textonotapie"/>
      </w:pPr>
      <w:r>
        <w:rPr>
          <w:rStyle w:val="Refdenotaalpie"/>
        </w:rPr>
        <w:footnoteRef/>
      </w:r>
      <w:r>
        <w:t xml:space="preserve"> Gómez Lara, Cipriano (2004), </w:t>
      </w:r>
      <w:r>
        <w:rPr>
          <w:i/>
        </w:rPr>
        <w:t xml:space="preserve">“Teoría General del Proceso”, </w:t>
      </w:r>
      <w:r>
        <w:t xml:space="preserve">(ed. 10), México, Oxford.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495" w:rsidRDefault="00557495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04456A2" wp14:editId="78BC43F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93865" cy="1198880"/>
              <wp:effectExtent l="0" t="2038350" r="0" b="188722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93865" cy="1198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495" w:rsidRDefault="00557495" w:rsidP="0055749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F4B083" w:themeColor="accent2" w:themeTint="99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  <w:t>OPINIÓN PARTICULAR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4456A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534.95pt;height:94.4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SWjwIAAAQFAAAOAAAAZHJzL2Uyb0RvYy54bWysVMFu2zAMvQ/YPwi6p7bTJLWNOkWbNrt0&#10;W4Fm6Fmx5FibLWqSEjsY9u+jZDdtt8swLAdFpuinR75HX171bUMOwlgJqqDJWUyJUCVwqXYF/bJZ&#10;T1JKrGOKswaUKOhRWHq1fP/ustO5mEINDReGIIiyeacLWjun8yiyZS1aZs9AC4WHFZiWOXw0u4gb&#10;1iF620TTOF5EHRiuDZTCWozeDod0GfCrSpTuc1VZ4UhTUOTmwmrCuvVrtLxk+c4wXctypMH+gUXL&#10;pMJLT1C3zDGyN/IPqFaWBixU7qyENoKqkqUINWA1SfxbNY810yLUgs2x+tQm+/9gy0+HB0MkL+g5&#10;JYq1KNFqz7gBwgVxondAzn2TOm1zzH3UmO36G+hR7FCw1fdQfrNEwapmaieujYGuFowjyQQhx3Ao&#10;ZXPUiB+iG4S+4xL1SDx89Ap/uMz6m7bdR+D4Cts7CLf1lWmJAf9amsX+F8LYR4KMUODjSVS8gJQY&#10;XFxk5+liTkmJZ0mSpWkaZI9Y7tG8aNpY90FAS/ymoAZdE2DZ4d46z+4lxacjMsbH3aDyjyyZzuKb&#10;aTZZL9KLyWw9m0+yizidxEl2ky3iWTa7Xf/0oMksryXnQt1LJZ4dl8z+TtHR+4NXgudIV9BsPp0H&#10;vhYaydeyaTw3a3bbVWPIgXnrD70aanmTZmCvOMZZ7kW7G/eOyWbYR28Zh2ZgA57/QyOCel6wQTrX&#10;b3tE9JJugR9Rxw4HrKD2+54ZgZ7YtytAUmiEykD7hBN8bbykoQivwaZ/YkaPcngXPjTPAxY08XR3&#10;fPQr418RqG1wbrFWMg+uGCodk0f9BtTQG32NjlrLIO4Lz9GHOGqhvPGz4Gf59XPIevl4LX8BAAD/&#10;/wMAUEsDBBQABgAIAAAAIQB2OnQ22wAAAAYBAAAPAAAAZHJzL2Rvd25yZXYueG1sTI9BT8MwDIXv&#10;SPsPkSdxY+lAmrrSdEJUHHbchjh7jdcWEqdr0rXj15NxgYv1rGe99znfTNaIC/W+daxguUhAEFdO&#10;t1wreD+8PaQgfEDWaByTgit52BSzuxwz7Ube0WUfahFD2GeooAmhy6T0VUMW/cJ1xNE7ud5iiGtf&#10;S93jGMOtkY9JspIWW44NDXb02lD1tR+sAv19unZP43jYbnflcDZtWdLHp1L38+nlGUSgKfwdww0/&#10;okMRmY5uYO2FURAfCb/z5iWr9RrEMao0TUEWufyPX/wAAAD//wMAUEsBAi0AFAAGAAgAAAAhALaD&#10;OJL+AAAA4QEAABMAAAAAAAAAAAAAAAAAAAAAAFtDb250ZW50X1R5cGVzXS54bWxQSwECLQAUAAYA&#10;CAAAACEAOP0h/9YAAACUAQAACwAAAAAAAAAAAAAAAAAvAQAAX3JlbHMvLnJlbHNQSwECLQAUAAYA&#10;CAAAACEA6roUlo8CAAAEBQAADgAAAAAAAAAAAAAAAAAuAgAAZHJzL2Uyb0RvYy54bWxQSwECLQAU&#10;AAYACAAAACEAdjp0NtsAAAAGAQAADwAAAAAAAAAAAAAAAADpBAAAZHJzL2Rvd25yZXYueG1sUEsF&#10;BgAAAAAEAAQA8wAAAPEFAAAAAA==&#10;" o:allowincell="f" filled="f" stroked="f">
              <v:stroke joinstyle="round"/>
              <o:lock v:ext="edit" shapetype="t"/>
              <v:textbox style="mso-fit-shape-to-text:t">
                <w:txbxContent>
                  <w:p w:rsidR="00D010E2" w:rsidRDefault="00052AAA" w:rsidP="00D010E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F4B083" w:themeColor="accent2" w:themeTint="99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60000"/>
                              <w14:lumOff w14:val="40000"/>
                            </w14:schemeClr>
                          </w14:solidFill>
                        </w14:textFill>
                      </w:rPr>
                      <w:t>OPINIÓN PARTICULAR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69874C24" wp14:editId="0680E7F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495" w:rsidRDefault="00557495" w:rsidP="0055749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9874C24" id="Cuadro de texto 2" o:spid="_x0000_s1027" type="#_x0000_t202" style="position:absolute;margin-left:0;margin-top:0;width:457.5pt;height:60.7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xHIjQIAAAo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Q3BU&#10;UNYLuwN+QjV7HLOS2u8HZgQ649CtAWtDO9QGukec4yvjhQ1cvBTb4ZEZPanivXjfPo1ZkMZXveeT&#10;axn/ikBdi9OLlMk8eGMkPCVPMo6ooUX6Cn21kUHjlzonN+LABZbTx8FP9OvnkPXyCVv9AgAA//8D&#10;AFBLAwQUAAYACAAAACEAE21sktoAAAAFAQAADwAAAGRycy9kb3ducmV2LnhtbEyPwU7DMBBE70j8&#10;g7VIvVEnrYogxKkQUQ89tkWc3XibBOx1iJ0m7dezcIHLSqMZzb7J15Oz4ox9aD0pSOcJCKTKm5Zq&#10;BW+Hzf0jiBA1GW09oYILBlgXtze5zowfaYfnfawFl1DItIImxi6TMlQNOh3mvkNi7+R7pyPLvpam&#10;1yOXOysXSfIgnW6JPzS6w9cGq8/94BSY6+nSLcfxsN3uyuHLtmWJ7x9Kze6ml2cQEaf4F4YffEaH&#10;gpmOfiAThFXAQ+LvZe8pXbE8cmiRrkAWufxPX3wDAAD//wMAUEsBAi0AFAAGAAgAAAAhALaDOJL+&#10;AAAA4QEAABMAAAAAAAAAAAAAAAAAAAAAAFtDb250ZW50X1R5cGVzXS54bWxQSwECLQAUAAYACAAA&#10;ACEAOP0h/9YAAACUAQAACwAAAAAAAAAAAAAAAAAvAQAAX3JlbHMvLnJlbHNQSwECLQAUAAYACAAA&#10;ACEAfz8RyI0CAAAKBQAADgAAAAAAAAAAAAAAAAAuAgAAZHJzL2Uyb0RvYy54bWxQSwECLQAUAAYA&#10;CAAAACEAE21sktoAAAAFAQAADwAAAAAAAAAAAAAAAADnBAAAZHJzL2Rvd25yZXYueG1sUEsFBgAA&#10;AAAEAAQA8wAAAO4FAAAAAA==&#10;" o:allowincell="f" filled="f" stroked="f">
              <v:stroke joinstyle="round"/>
              <o:lock v:ext="edit" shapetype="t"/>
              <v:textbox style="mso-fit-shape-to-text:t">
                <w:txbxContent>
                  <w:p w:rsidR="00707B13" w:rsidRDefault="00052AAA" w:rsidP="00707B1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495" w:rsidRDefault="002A3256" w:rsidP="00557495">
    <w:pPr>
      <w:pStyle w:val="Encabezado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935636447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sz w:val="20"/>
            <w:szCs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4212942" o:spid="_x0000_s2049" type="#_x0000_t136" style="position:absolute;left:0;text-align:left;margin-left:0;margin-top:0;width:518.25pt;height:111.05pt;rotation:315;z-index:-251656704;mso-position-horizontal:center;mso-position-horizontal-relative:margin;mso-position-vertical:center;mso-position-vertical-relative:margin" o:allowincell="f" fillcolor="#ed7d31 [3205]" stroked="f">
              <v:fill opacity=".5"/>
              <v:textpath style="font-family:&quot;calibri&quot;;font-size:1pt" string="VOTO PARTICULAR"/>
              <w10:wrap anchorx="margin" anchory="margin"/>
            </v:shape>
          </w:pict>
        </w:r>
      </w:sdtContent>
    </w:sdt>
    <w:r w:rsidR="00557495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A4F648B" wp14:editId="72D0E75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93865" cy="1198880"/>
              <wp:effectExtent l="0" t="2038350" r="0" b="188722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93865" cy="1198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495" w:rsidRDefault="00557495" w:rsidP="0055749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F4B083" w:themeColor="accent2" w:themeTint="99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  <w:t>OPINIÓN PARTICULAR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F648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left:0;text-align:left;margin-left:0;margin-top:0;width:534.95pt;height:94.4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gYPkgIAAAsFAAAOAAAAZHJzL2Uyb0RvYy54bWysVE1z0zAQvTPDf9DontoOSWp76nTatOFS&#10;oDMN07NiybHA1gpJiZ1h+O+sZCe0cGEYclD0sXrat++tr677tiEHYawEVdDkIqZEqBK4VLuCft6s&#10;Jykl1jHFWQNKFPQoLL1evn1z1elcTKGGhgtDEETZvNMFrZ3TeRTZshYtsxeghcLDCkzLHC7NLuKG&#10;dYjeNtE0jhdRB4ZrA6WwFnfvhkO6DPhVJUr3qaqscKQpKObmwmjCuPVjtLxi+c4wXctyTIP9QxYt&#10;kwofPUPdMcfI3sg/oFpZGrBQuYsS2giqSpYicEA2Sfwbm6eaaRG4YHGsPpfJ/j/Y8uPh0RDJUTtK&#10;FGtRotWecQOEC+JE74AkvkidtjnGPmmMdv0t9P6CJ2z1A5RfLVGwqpnaiRtjoKsF45ikhxy3A5XN&#10;USN+2N0g9D2XqEeAj17gD49Z/9K2+wAcr7C9g/BaX5mWGPDX0iz2v7CNdSSYEQp8PIuKD5ASNxeX&#10;2bt0MaekxLMkydI0DbJHLPdonoM21r0X0BI/KahB1wRYdniwDslj6CnEhyMy7o+zQeXvWTKdxbfT&#10;bLJepJeT2Xo2n2SXcTqJk+w2W8SzbHa3/uFBk1leS86FepBKnByXzP5O0dH7g1eC50hX0Gw+nYd8&#10;LTSSr2XT+Nys2W1XjSEH5q0/1Grg8irMwF7x0AVetPtx7phshnn0OuNQDCzA6T8UIqjnBRukc/22&#10;D5aanpyzBX5EOTvss4Lab3tmBFpj364Ac0M/VAbaZ2zkG+OVDVx8wTf9MzN6VMWb8bE59VmQxtPc&#10;8dG2jH9BoLbB9kXKZB7MMRAeg0cZB9RQIn2DxlrLoLF34JAncvML7LjAcvw6+JZ+uQ5Rv75hy58A&#10;AAD//wMAUEsDBBQABgAIAAAAIQB2OnQ22wAAAAYBAAAPAAAAZHJzL2Rvd25yZXYueG1sTI9BT8Mw&#10;DIXvSPsPkSdxY+lAmrrSdEJUHHbchjh7jdcWEqdr0rXj15NxgYv1rGe99znfTNaIC/W+daxguUhA&#10;EFdOt1wreD+8PaQgfEDWaByTgit52BSzuxwz7Ube0WUfahFD2GeooAmhy6T0VUMW/cJ1xNE7ud5i&#10;iGtfS93jGMOtkY9JspIWW44NDXb02lD1tR+sAv19unZP43jYbnflcDZtWdLHp1L38+nlGUSgKfwd&#10;ww0/okMRmY5uYO2FURAfCb/z5iWr9RrEMao0TUEWufyPX/wAAAD//wMAUEsBAi0AFAAGAAgAAAAh&#10;ALaDOJL+AAAA4QEAABMAAAAAAAAAAAAAAAAAAAAAAFtDb250ZW50X1R5cGVzXS54bWxQSwECLQAU&#10;AAYACAAAACEAOP0h/9YAAACUAQAACwAAAAAAAAAAAAAAAAAvAQAAX3JlbHMvLnJlbHNQSwECLQAU&#10;AAYACAAAACEA/NIGD5ICAAALBQAADgAAAAAAAAAAAAAAAAAuAgAAZHJzL2Uyb0RvYy54bWxQSwEC&#10;LQAUAAYACAAAACEAdjp0NtsAAAAGAQAADwAAAAAAAAAAAAAAAADsBAAAZHJzL2Rvd25yZXYueG1s&#10;UEsFBgAAAAAEAAQA8wAAAPQFAAAAAA==&#10;" o:allowincell="f" filled="f" stroked="f">
              <v:stroke joinstyle="round"/>
              <o:lock v:ext="edit" shapetype="t"/>
              <v:textbox style="mso-fit-shape-to-text:t">
                <w:txbxContent>
                  <w:p w:rsidR="00D010E2" w:rsidRDefault="00052AAA" w:rsidP="00D010E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F4B083" w:themeColor="accent2" w:themeTint="99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60000"/>
                              <w14:lumOff w14:val="40000"/>
                            </w14:schemeClr>
                          </w14:solidFill>
                        </w14:textFill>
                      </w:rPr>
                      <w:t>OPINIÓN PARTICULAR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57495">
      <w:rPr>
        <w:noProof/>
        <w:lang w:val="es-MX" w:eastAsia="es-MX"/>
      </w:rPr>
      <w:drawing>
        <wp:anchor distT="0" distB="0" distL="114300" distR="114300" simplePos="0" relativeHeight="251656704" behindDoc="1" locked="0" layoutInCell="1" allowOverlap="1" wp14:anchorId="53489D78" wp14:editId="23CDF7E9">
          <wp:simplePos x="0" y="0"/>
          <wp:positionH relativeFrom="page">
            <wp:align>center</wp:align>
          </wp:positionH>
          <wp:positionV relativeFrom="paragraph">
            <wp:posOffset>-449906</wp:posOffset>
          </wp:positionV>
          <wp:extent cx="7510628" cy="9883775"/>
          <wp:effectExtent l="0" t="0" r="0" b="3175"/>
          <wp:wrapNone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628" cy="9883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7495" w:rsidRDefault="00557495" w:rsidP="00557495">
    <w:pPr>
      <w:pStyle w:val="Encabezado"/>
      <w:jc w:val="right"/>
      <w:rPr>
        <w:rFonts w:ascii="Arial" w:hAnsi="Arial" w:cs="Arial"/>
        <w:sz w:val="20"/>
        <w:szCs w:val="20"/>
      </w:rPr>
    </w:pPr>
  </w:p>
  <w:p w:rsidR="00557495" w:rsidRDefault="00557495" w:rsidP="00557495">
    <w:pPr>
      <w:pStyle w:val="Encabezado"/>
      <w:jc w:val="right"/>
      <w:rPr>
        <w:rFonts w:ascii="Arial" w:hAnsi="Arial" w:cs="Arial"/>
        <w:sz w:val="20"/>
        <w:szCs w:val="20"/>
      </w:rPr>
    </w:pPr>
  </w:p>
  <w:p w:rsidR="00557495" w:rsidRPr="009122C0" w:rsidRDefault="00557495" w:rsidP="00557495">
    <w:pPr>
      <w:pStyle w:val="Encabezado"/>
      <w:jc w:val="right"/>
      <w:rPr>
        <w:rFonts w:ascii="Palatino Linotype" w:hAnsi="Palatino Linotype" w:cs="Arial"/>
        <w:b/>
        <w:sz w:val="19"/>
        <w:szCs w:val="19"/>
      </w:rPr>
    </w:pPr>
    <w:r w:rsidRPr="009122C0">
      <w:rPr>
        <w:rFonts w:ascii="Palatino Linotype" w:hAnsi="Palatino Linotype" w:cs="Arial"/>
        <w:b/>
        <w:sz w:val="19"/>
        <w:szCs w:val="19"/>
      </w:rPr>
      <w:t xml:space="preserve">VOTO PARTICULAR </w:t>
    </w:r>
  </w:p>
  <w:p w:rsidR="00557495" w:rsidRPr="009122C0" w:rsidRDefault="00557495" w:rsidP="00557495">
    <w:pPr>
      <w:pStyle w:val="Encabezado"/>
      <w:jc w:val="right"/>
      <w:rPr>
        <w:rFonts w:ascii="Palatino Linotype" w:hAnsi="Palatino Linotype" w:cs="Arial"/>
        <w:b/>
        <w:sz w:val="19"/>
        <w:szCs w:val="19"/>
      </w:rPr>
    </w:pPr>
    <w:r w:rsidRPr="009122C0">
      <w:rPr>
        <w:rFonts w:ascii="Palatino Linotype" w:hAnsi="Palatino Linotype" w:cs="Arial"/>
        <w:b/>
        <w:sz w:val="19"/>
        <w:szCs w:val="19"/>
      </w:rPr>
      <w:t>RECURSO DE REVISIÓN 0</w:t>
    </w:r>
    <w:r>
      <w:rPr>
        <w:rFonts w:ascii="Palatino Linotype" w:hAnsi="Palatino Linotype" w:cs="Arial"/>
        <w:b/>
        <w:sz w:val="19"/>
        <w:szCs w:val="19"/>
      </w:rPr>
      <w:t>4293</w:t>
    </w:r>
    <w:r w:rsidRPr="009122C0">
      <w:rPr>
        <w:rFonts w:ascii="Palatino Linotype" w:hAnsi="Palatino Linotype" w:cs="Arial"/>
        <w:b/>
        <w:sz w:val="19"/>
        <w:szCs w:val="19"/>
      </w:rPr>
      <w:t>/INFOEM/IP/RR/201</w:t>
    </w:r>
    <w:r>
      <w:rPr>
        <w:rFonts w:ascii="Palatino Linotype" w:hAnsi="Palatino Linotype" w:cs="Arial"/>
        <w:b/>
        <w:sz w:val="19"/>
        <w:szCs w:val="19"/>
      </w:rPr>
      <w:t>8</w:t>
    </w:r>
    <w:r w:rsidRPr="009122C0">
      <w:rPr>
        <w:rFonts w:ascii="Palatino Linotype" w:hAnsi="Palatino Linotype" w:cs="Arial"/>
        <w:b/>
        <w:sz w:val="19"/>
        <w:szCs w:val="19"/>
      </w:rPr>
      <w:t xml:space="preserve"> </w:t>
    </w:r>
  </w:p>
  <w:p w:rsidR="00557495" w:rsidRPr="009122C0" w:rsidRDefault="00557495" w:rsidP="00557495">
    <w:pPr>
      <w:pStyle w:val="Encabezado"/>
      <w:jc w:val="right"/>
      <w:rPr>
        <w:rFonts w:ascii="Palatino Linotype" w:hAnsi="Palatino Linotype" w:cs="Arial"/>
        <w:sz w:val="19"/>
        <w:szCs w:val="19"/>
      </w:rPr>
    </w:pPr>
  </w:p>
  <w:p w:rsidR="00557495" w:rsidRDefault="00557495" w:rsidP="00557495">
    <w:pPr>
      <w:pStyle w:val="Encabezado"/>
      <w:jc w:val="right"/>
      <w:rPr>
        <w:rFonts w:ascii="Palatino Linotype" w:hAnsi="Palatino Linotype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57A57"/>
    <w:multiLevelType w:val="hybridMultilevel"/>
    <w:tmpl w:val="082A8766"/>
    <w:lvl w:ilvl="0" w:tplc="8A6E1FC4">
      <w:start w:val="7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4053261"/>
    <w:multiLevelType w:val="hybridMultilevel"/>
    <w:tmpl w:val="89A63D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F045E"/>
    <w:multiLevelType w:val="hybridMultilevel"/>
    <w:tmpl w:val="C6B6B2EA"/>
    <w:lvl w:ilvl="0" w:tplc="BF3AA9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A997D30"/>
    <w:multiLevelType w:val="hybridMultilevel"/>
    <w:tmpl w:val="9670CD74"/>
    <w:lvl w:ilvl="0" w:tplc="86B65F6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730811"/>
    <w:multiLevelType w:val="hybridMultilevel"/>
    <w:tmpl w:val="649E9E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6069A"/>
    <w:multiLevelType w:val="hybridMultilevel"/>
    <w:tmpl w:val="7736BE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96DC4"/>
    <w:multiLevelType w:val="hybridMultilevel"/>
    <w:tmpl w:val="9948E96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D6D59"/>
    <w:multiLevelType w:val="hybridMultilevel"/>
    <w:tmpl w:val="F4D642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E06B0"/>
    <w:multiLevelType w:val="hybridMultilevel"/>
    <w:tmpl w:val="97D672B4"/>
    <w:lvl w:ilvl="0" w:tplc="8310749C">
      <w:start w:val="1"/>
      <w:numFmt w:val="upperRoman"/>
      <w:lvlText w:val="%1."/>
      <w:lvlJc w:val="left"/>
      <w:pPr>
        <w:ind w:left="720" w:hanging="360"/>
      </w:pPr>
      <w:rPr>
        <w:rFonts w:ascii="Palatino Linotype" w:eastAsiaTheme="minorEastAsia" w:hAnsi="Palatino Linotype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52B3F"/>
    <w:multiLevelType w:val="hybridMultilevel"/>
    <w:tmpl w:val="4BF8EFBC"/>
    <w:lvl w:ilvl="0" w:tplc="0354E69A">
      <w:start w:val="2058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05"/>
    <w:rsid w:val="00001252"/>
    <w:rsid w:val="00052AAA"/>
    <w:rsid w:val="00054E77"/>
    <w:rsid w:val="0005701A"/>
    <w:rsid w:val="00074E4D"/>
    <w:rsid w:val="0009400C"/>
    <w:rsid w:val="000B654C"/>
    <w:rsid w:val="000B6A84"/>
    <w:rsid w:val="000C5F93"/>
    <w:rsid w:val="001530B1"/>
    <w:rsid w:val="00153609"/>
    <w:rsid w:val="001907CA"/>
    <w:rsid w:val="001C51EC"/>
    <w:rsid w:val="001E36B1"/>
    <w:rsid w:val="001E3F2C"/>
    <w:rsid w:val="001F59FD"/>
    <w:rsid w:val="001F5D24"/>
    <w:rsid w:val="0024254B"/>
    <w:rsid w:val="00245929"/>
    <w:rsid w:val="002562E3"/>
    <w:rsid w:val="00265DEA"/>
    <w:rsid w:val="002903E3"/>
    <w:rsid w:val="002A3256"/>
    <w:rsid w:val="002A5ADD"/>
    <w:rsid w:val="002B2DC5"/>
    <w:rsid w:val="00334DEA"/>
    <w:rsid w:val="00374A7C"/>
    <w:rsid w:val="00385699"/>
    <w:rsid w:val="0038638F"/>
    <w:rsid w:val="003A327A"/>
    <w:rsid w:val="003B4510"/>
    <w:rsid w:val="003F1C95"/>
    <w:rsid w:val="00441139"/>
    <w:rsid w:val="00452958"/>
    <w:rsid w:val="00453637"/>
    <w:rsid w:val="0046060B"/>
    <w:rsid w:val="00472D9C"/>
    <w:rsid w:val="004C4149"/>
    <w:rsid w:val="004D318F"/>
    <w:rsid w:val="004E2907"/>
    <w:rsid w:val="004F09AD"/>
    <w:rsid w:val="00506CDE"/>
    <w:rsid w:val="00520B08"/>
    <w:rsid w:val="00557495"/>
    <w:rsid w:val="0056688A"/>
    <w:rsid w:val="00597ACE"/>
    <w:rsid w:val="005D43C3"/>
    <w:rsid w:val="00614BBE"/>
    <w:rsid w:val="00615762"/>
    <w:rsid w:val="00620AE6"/>
    <w:rsid w:val="00637ED3"/>
    <w:rsid w:val="0069147F"/>
    <w:rsid w:val="006A17A6"/>
    <w:rsid w:val="007347D0"/>
    <w:rsid w:val="00754875"/>
    <w:rsid w:val="00786579"/>
    <w:rsid w:val="0078712B"/>
    <w:rsid w:val="00816CB7"/>
    <w:rsid w:val="00835460"/>
    <w:rsid w:val="008476D4"/>
    <w:rsid w:val="008F35D7"/>
    <w:rsid w:val="00910107"/>
    <w:rsid w:val="009122C0"/>
    <w:rsid w:val="009712F5"/>
    <w:rsid w:val="00A0044D"/>
    <w:rsid w:val="00A145B1"/>
    <w:rsid w:val="00A37D01"/>
    <w:rsid w:val="00A56FBB"/>
    <w:rsid w:val="00A6641D"/>
    <w:rsid w:val="00A77DB5"/>
    <w:rsid w:val="00A81D63"/>
    <w:rsid w:val="00A87336"/>
    <w:rsid w:val="00A87F2F"/>
    <w:rsid w:val="00A96753"/>
    <w:rsid w:val="00AA34F7"/>
    <w:rsid w:val="00AC0505"/>
    <w:rsid w:val="00AC56D7"/>
    <w:rsid w:val="00AC6F28"/>
    <w:rsid w:val="00AD54F7"/>
    <w:rsid w:val="00AE7B0A"/>
    <w:rsid w:val="00AF4853"/>
    <w:rsid w:val="00B02FAE"/>
    <w:rsid w:val="00B13428"/>
    <w:rsid w:val="00B30BE2"/>
    <w:rsid w:val="00B7710E"/>
    <w:rsid w:val="00B7718D"/>
    <w:rsid w:val="00B825CF"/>
    <w:rsid w:val="00B85385"/>
    <w:rsid w:val="00BA6F7E"/>
    <w:rsid w:val="00BB4ADE"/>
    <w:rsid w:val="00BB4DDD"/>
    <w:rsid w:val="00BC1D93"/>
    <w:rsid w:val="00C00A80"/>
    <w:rsid w:val="00C2035F"/>
    <w:rsid w:val="00C26B6E"/>
    <w:rsid w:val="00C70660"/>
    <w:rsid w:val="00C740F5"/>
    <w:rsid w:val="00C7711C"/>
    <w:rsid w:val="00CA6429"/>
    <w:rsid w:val="00CC5301"/>
    <w:rsid w:val="00CD106E"/>
    <w:rsid w:val="00CE6377"/>
    <w:rsid w:val="00D10DA4"/>
    <w:rsid w:val="00D12934"/>
    <w:rsid w:val="00D14EE5"/>
    <w:rsid w:val="00D159B0"/>
    <w:rsid w:val="00D5179C"/>
    <w:rsid w:val="00D57F7B"/>
    <w:rsid w:val="00DB4459"/>
    <w:rsid w:val="00DD0673"/>
    <w:rsid w:val="00E10CC9"/>
    <w:rsid w:val="00E333DB"/>
    <w:rsid w:val="00E3725C"/>
    <w:rsid w:val="00E7438C"/>
    <w:rsid w:val="00EB4018"/>
    <w:rsid w:val="00EC2F35"/>
    <w:rsid w:val="00F13B9C"/>
    <w:rsid w:val="00F34951"/>
    <w:rsid w:val="00F349C7"/>
    <w:rsid w:val="00F53518"/>
    <w:rsid w:val="00F70441"/>
    <w:rsid w:val="00FA30C9"/>
    <w:rsid w:val="00FD2FB0"/>
    <w:rsid w:val="00F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FE491B9-7104-4815-8E15-883584D2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5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050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C05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C050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05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AC0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AC0505"/>
    <w:pPr>
      <w:spacing w:line="256" w:lineRule="auto"/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AC0505"/>
  </w:style>
  <w:style w:type="paragraph" w:styleId="Textodeglobo">
    <w:name w:val="Balloon Text"/>
    <w:basedOn w:val="Normal"/>
    <w:link w:val="TextodegloboCar"/>
    <w:uiPriority w:val="99"/>
    <w:semiHidden/>
    <w:unhideWhenUsed/>
    <w:rsid w:val="004C4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14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E290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red">
    <w:name w:val="red"/>
    <w:basedOn w:val="Fuentedeprrafopredeter"/>
    <w:rsid w:val="00BC1D93"/>
  </w:style>
  <w:style w:type="character" w:styleId="Hipervnculo">
    <w:name w:val="Hyperlink"/>
    <w:basedOn w:val="Fuentedeprrafopredeter"/>
    <w:uiPriority w:val="99"/>
    <w:semiHidden/>
    <w:unhideWhenUsed/>
    <w:rsid w:val="00BC1D93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57F7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57F7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57F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1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B010-DB4A-4671-B24C-A5B433E0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902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2018-12-18T00:05:00Z</cp:lastPrinted>
  <dcterms:created xsi:type="dcterms:W3CDTF">2019-02-26T23:43:00Z</dcterms:created>
  <dcterms:modified xsi:type="dcterms:W3CDTF">2019-02-26T23:43:00Z</dcterms:modified>
</cp:coreProperties>
</file>